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C6983">
      <w:pPr>
        <w:snapToGrid w:val="0"/>
        <w:jc w:val="right"/>
        <w:rPr>
          <w:rFonts w:eastAsia="华文中宋"/>
          <w:b/>
          <w:outline/>
          <w:color w:val="000000"/>
          <w:sz w:val="84"/>
          <w:szCs w:val="84"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3510280</wp:posOffset>
            </wp:positionH>
            <wp:positionV relativeFrom="paragraph">
              <wp:posOffset>513715</wp:posOffset>
            </wp:positionV>
            <wp:extent cx="1864995" cy="476885"/>
            <wp:effectExtent l="19050" t="0" r="1905" b="0"/>
            <wp:wrapNone/>
            <wp:docPr id="2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2AB961">
      <w:pPr>
        <w:snapToGrid w:val="0"/>
        <w:jc w:val="right"/>
        <w:rPr>
          <w:rFonts w:eastAsia="华文中宋"/>
          <w:b/>
          <w:outline/>
          <w:color w:val="000000"/>
          <w:sz w:val="84"/>
          <w:szCs w:val="84"/>
          <w:highlight w:val="yello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4AD990C">
      <w:pPr>
        <w:tabs>
          <w:tab w:val="left" w:pos="8295"/>
        </w:tabs>
        <w:snapToGrid w:val="0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浙江省地方计量技术规范</w:t>
      </w:r>
    </w:p>
    <w:p w14:paraId="165B096F">
      <w:pPr>
        <w:jc w:val="right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JJF（浙）XXXX-202</w:t>
      </w:r>
      <w:r>
        <w:rPr>
          <w:rFonts w:hint="eastAsia" w:eastAsia="黑体"/>
          <w:color w:val="000000"/>
          <w:sz w:val="28"/>
        </w:rPr>
        <w:t>4</w:t>
      </w:r>
    </w:p>
    <w:p w14:paraId="03F1384F">
      <w:pPr>
        <w:tabs>
          <w:tab w:val="left" w:pos="6930"/>
        </w:tabs>
        <w:snapToGrid w:val="0"/>
        <w:rPr>
          <w:color w:val="000000"/>
          <w:sz w:val="52"/>
          <w:szCs w:val="52"/>
          <w:u w:val="single"/>
        </w:rPr>
      </w:pPr>
      <w:r>
        <w:rPr>
          <w:color w:val="000000"/>
          <w:sz w:val="20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38100</wp:posOffset>
                </wp:positionV>
                <wp:extent cx="6000750" cy="0"/>
                <wp:effectExtent l="0" t="4445" r="0" b="5080"/>
                <wp:wrapNone/>
                <wp:docPr id="1" name="直线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6" o:spid="_x0000_s1026" o:spt="20" style="position:absolute;left:0pt;margin-left:-27pt;margin-top:3pt;height:0pt;width:472.5pt;z-index:251659264;mso-width-relative:page;mso-height-relative:page;" filled="f" stroked="t" coordsize="21600,21600" o:gfxdata="UEsDBAoAAAAAAIdO4kAAAAAAAAAAAAAAAAAEAAAAZHJzL1BLAwQUAAAACACHTuJAHMHQr9UAAAAH&#10;AQAADwAAAGRycy9kb3ducmV2LnhtbE2PT0/DMAzF70h8h8hIXKYt6YBplKY7AL1xYYC4eo1pKxqn&#10;a7I/8Okxu8DJfnrW8+8Vq6Pv1Z7G2AW2kM0MKOI6uI4bC68v1XQJKiZkh31gsvBFEVbl+VmBuQsH&#10;fqb9OjVKQjjmaKFNaci1jnVLHuMsDMTifYTRYxI5NtqNeJBw3+u5MQvtsWP50OJA9y3Vn+udtxCr&#10;N9pW35N6Yt6vmkDz7cPTI1p7eZGZO1CJjunvGH7xBR1KYdqEHbuoegvTm2vpkiwsZIi/vM1k2Zy0&#10;Lgv9n7/8AVBLAwQUAAAACACHTuJAewKHPOgBAADdAwAADgAAAGRycy9lMm9Eb2MueG1srVPNjtMw&#10;EL4j8Q6W7zRpUQtETfdAWS4IVlp4gKntJJb8J4/btM/Ca3DiwuPsazB2ul1YLj2QgzP2jL+Z75vx&#10;+uZoDTuoiNq7ls9nNWfKCS+161v+7evtq7ecYQInwXinWn5SyG82L1+sx9CohR+8kSoyAnHYjKHl&#10;Q0qhqSoUg7KAMx+UI2fno4VE29hXMsJI6NZUi7peVaOPMkQvFCKdbicnPyPGawB912mhtl7srXJp&#10;Qo3KQCJKOOiAfFOq7Tol0peuQ5WYaTkxTWWlJGTv8lpt1tD0EcKgxbkEuKaEZ5wsaEdJL1BbSMD2&#10;Uf8DZbWIHn2XZsLbaiJSFCEW8/qZNvcDBFW4kNQYLqLj/4MVnw93kWlJk8CZA0sNf/j+4+HnL7Z4&#10;vcrqjAEbCroPd/G8QzIz1WMXbf4TCXYsip4uiqpjYoIOV3Vdv1mS2OLRVz1dDBHTR+Uty0bLjXaZ&#10;LDRw+ISJklHoY0g+No6NLX+3XCwJDmjyOuo4mTZQ9ej6che90fJWG5NvYOx3701kB8jdL1+mRLh/&#10;heUkW8BhiiuuaS4GBfKDkyydAuni6DnwXIJVkjOj6PVkiwChSaDNNZGU2jiqIKs66ZitnZcn6sI+&#10;RN0PpMS8VJk91PVS73lC81j9uS9IT69y8x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cwdCv1QAA&#10;AAcBAAAPAAAAAAAAAAEAIAAAACIAAABkcnMvZG93bnJldi54bWxQSwECFAAUAAAACACHTuJAewKH&#10;POgBAADdAwAADgAAAAAAAAABACAAAAAk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F2F034D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54A7E0C5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68BC2FDF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16AB851A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249D0A54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46D43035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1979E51E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4834A909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6AEDCFE7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37FB1645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22DF865A">
      <w:pPr>
        <w:snapToGrid w:val="0"/>
        <w:spacing w:line="180" w:lineRule="exact"/>
        <w:jc w:val="center"/>
        <w:rPr>
          <w:rFonts w:eastAsia="黑体"/>
          <w:b/>
          <w:color w:val="000000"/>
          <w:sz w:val="52"/>
          <w:szCs w:val="52"/>
        </w:rPr>
      </w:pPr>
    </w:p>
    <w:p w14:paraId="026CAE1B">
      <w:pPr>
        <w:snapToGrid w:val="0"/>
        <w:jc w:val="center"/>
        <w:rPr>
          <w:rFonts w:eastAsia="黑体"/>
          <w:color w:val="000000"/>
          <w:sz w:val="52"/>
          <w:szCs w:val="52"/>
        </w:rPr>
      </w:pPr>
      <w:r>
        <w:rPr>
          <w:rFonts w:hint="eastAsia" w:eastAsia="黑体"/>
          <w:color w:val="000000"/>
          <w:sz w:val="52"/>
        </w:rPr>
        <w:t>周围型双能X射线骨密度仪</w:t>
      </w:r>
      <w:r>
        <w:rPr>
          <w:rFonts w:eastAsia="黑体"/>
          <w:color w:val="000000"/>
          <w:sz w:val="52"/>
        </w:rPr>
        <w:t>校准规范</w:t>
      </w:r>
    </w:p>
    <w:p w14:paraId="1A2C9EA5">
      <w:pPr>
        <w:snapToGrid w:val="0"/>
        <w:jc w:val="center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Calibration specification for peripheral dual energy X-ray absorptiometry</w:t>
      </w:r>
      <w:r>
        <w:rPr>
          <w:rFonts w:hint="eastAsia" w:eastAsia="黑体"/>
          <w:color w:val="000000"/>
          <w:sz w:val="28"/>
          <w:szCs w:val="28"/>
        </w:rPr>
        <w:t>s</w:t>
      </w:r>
      <w:r>
        <w:rPr>
          <w:rFonts w:eastAsia="黑体"/>
          <w:color w:val="000000"/>
          <w:sz w:val="28"/>
          <w:szCs w:val="28"/>
        </w:rPr>
        <w:t xml:space="preserve"> </w:t>
      </w:r>
    </w:p>
    <w:p w14:paraId="1C265E69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2985B7C4">
      <w:pPr>
        <w:snapToGrid w:val="0"/>
        <w:jc w:val="center"/>
        <w:rPr>
          <w:rFonts w:eastAsia="黑体"/>
          <w:color w:val="000000"/>
          <w:sz w:val="36"/>
          <w:szCs w:val="36"/>
        </w:rPr>
      </w:pPr>
      <w:r>
        <w:rPr>
          <w:rFonts w:eastAsia="黑体"/>
          <w:color w:val="000000"/>
          <w:sz w:val="36"/>
          <w:szCs w:val="36"/>
        </w:rPr>
        <w:t>(</w:t>
      </w:r>
      <w:r>
        <w:rPr>
          <w:rFonts w:hint="eastAsia" w:eastAsia="黑体"/>
          <w:color w:val="000000"/>
          <w:sz w:val="36"/>
          <w:szCs w:val="36"/>
        </w:rPr>
        <w:t>报审</w:t>
      </w:r>
      <w:r>
        <w:rPr>
          <w:rFonts w:eastAsia="黑体"/>
          <w:color w:val="000000"/>
          <w:sz w:val="36"/>
          <w:szCs w:val="36"/>
        </w:rPr>
        <w:t>稿)</w:t>
      </w:r>
    </w:p>
    <w:p w14:paraId="3E722F37">
      <w:pPr>
        <w:snapToGrid w:val="0"/>
        <w:rPr>
          <w:rFonts w:eastAsia="黑体"/>
          <w:color w:val="000000"/>
          <w:sz w:val="28"/>
          <w:szCs w:val="28"/>
        </w:rPr>
      </w:pPr>
    </w:p>
    <w:p w14:paraId="07C1867A">
      <w:pPr>
        <w:snapToGrid w:val="0"/>
        <w:rPr>
          <w:rFonts w:eastAsia="黑体"/>
          <w:color w:val="000000"/>
          <w:sz w:val="28"/>
          <w:szCs w:val="28"/>
        </w:rPr>
      </w:pPr>
    </w:p>
    <w:p w14:paraId="1ADE3DCE">
      <w:pPr>
        <w:snapToGrid w:val="0"/>
        <w:rPr>
          <w:rFonts w:eastAsia="黑体"/>
          <w:color w:val="000000"/>
          <w:sz w:val="28"/>
          <w:szCs w:val="28"/>
        </w:rPr>
      </w:pPr>
    </w:p>
    <w:p w14:paraId="26D435A6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1E1CA519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45FD501E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7C35AB89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2FA1FAFB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23DAD0D7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2DD63180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76AB93D8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1D695134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1A9C92DA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74FAF393">
      <w:pPr>
        <w:snapToGrid w:val="0"/>
        <w:rPr>
          <w:rFonts w:eastAsia="黑体"/>
          <w:color w:val="000000"/>
          <w:sz w:val="28"/>
          <w:szCs w:val="28"/>
        </w:rPr>
      </w:pPr>
    </w:p>
    <w:p w14:paraId="187DA0CD">
      <w:pPr>
        <w:snapToGrid w:val="0"/>
        <w:rPr>
          <w:rFonts w:eastAsia="黑体"/>
          <w:color w:val="000000"/>
          <w:szCs w:val="28"/>
        </w:rPr>
      </w:pPr>
      <w:r>
        <w:rPr>
          <w:rFonts w:eastAsia="黑体"/>
          <w:color w:val="000000"/>
          <w:sz w:val="28"/>
          <w:szCs w:val="28"/>
        </w:rPr>
        <w:t>202</w:t>
      </w:r>
      <w:r>
        <w:rPr>
          <w:rFonts w:hint="eastAsia" w:eastAsia="黑体"/>
          <w:color w:val="000000"/>
          <w:sz w:val="28"/>
          <w:szCs w:val="28"/>
          <w:lang w:val="en-US" w:eastAsia="zh-CN"/>
        </w:rPr>
        <w:t>5</w:t>
      </w:r>
      <w:r>
        <w:rPr>
          <w:rFonts w:eastAsia="黑体"/>
          <w:color w:val="000000"/>
          <w:sz w:val="28"/>
          <w:szCs w:val="28"/>
        </w:rPr>
        <w:t>-XX-XX发布</w:t>
      </w:r>
      <w:r>
        <w:rPr>
          <w:rFonts w:eastAsia="黑体"/>
          <w:color w:val="000000"/>
          <w:szCs w:val="28"/>
        </w:rPr>
        <w:t xml:space="preserve">                      </w:t>
      </w:r>
      <w:r>
        <w:rPr>
          <w:rFonts w:hint="eastAsia" w:eastAsia="黑体"/>
          <w:color w:val="000000"/>
          <w:szCs w:val="28"/>
        </w:rPr>
        <w:t xml:space="preserve">         </w:t>
      </w:r>
      <w:r>
        <w:rPr>
          <w:rFonts w:eastAsia="黑体"/>
          <w:color w:val="000000"/>
          <w:szCs w:val="28"/>
        </w:rPr>
        <w:t xml:space="preserve"> </w:t>
      </w:r>
      <w:r>
        <w:rPr>
          <w:rFonts w:eastAsia="黑体"/>
          <w:color w:val="000000"/>
          <w:sz w:val="28"/>
          <w:szCs w:val="28"/>
        </w:rPr>
        <w:t>202</w:t>
      </w:r>
      <w:r>
        <w:rPr>
          <w:rFonts w:hint="eastAsia" w:eastAsia="黑体"/>
          <w:color w:val="000000"/>
          <w:sz w:val="28"/>
          <w:szCs w:val="28"/>
          <w:lang w:val="en-US" w:eastAsia="zh-CN"/>
        </w:rPr>
        <w:t>5</w:t>
      </w:r>
      <w:r>
        <w:rPr>
          <w:rFonts w:eastAsia="黑体"/>
          <w:color w:val="000000"/>
          <w:sz w:val="28"/>
          <w:szCs w:val="28"/>
        </w:rPr>
        <w:t>-XX-XX实施</w:t>
      </w:r>
    </w:p>
    <w:p w14:paraId="64A450BA">
      <w:pPr>
        <w:snapToGrid w:val="0"/>
        <w:jc w:val="center"/>
        <w:rPr>
          <w:rFonts w:eastAsia="黑体"/>
          <w:color w:val="000000"/>
          <w:spacing w:val="30"/>
          <w:kern w:val="144"/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701" w:bottom="1440" w:left="1701" w:header="851" w:footer="992" w:gutter="0"/>
          <w:pgNumType w:start="1"/>
          <w:cols w:space="720" w:num="1"/>
          <w:titlePg/>
          <w:docGrid w:type="linesAndChars" w:linePitch="312" w:charSpace="0"/>
        </w:sectPr>
      </w:pPr>
      <w:r>
        <w:rPr>
          <w:rFonts w:eastAsia="新宋体"/>
          <w:color w:val="00000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34925</wp:posOffset>
                </wp:positionV>
                <wp:extent cx="6000750" cy="0"/>
                <wp:effectExtent l="0" t="4445" r="0" b="5080"/>
                <wp:wrapNone/>
                <wp:docPr id="2" name="直线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7" o:spid="_x0000_s1026" o:spt="20" style="position:absolute;left:0pt;margin-left:-27pt;margin-top:2.75pt;height:0pt;width:472.5pt;z-index:251660288;mso-width-relative:page;mso-height-relative:page;" filled="f" stroked="t" coordsize="21600,21600" o:gfxdata="UEsDBAoAAAAAAIdO4kAAAAAAAAAAAAAAAAAEAAAAZHJzL1BLAwQUAAAACACHTuJA+D4XHdUAAAAH&#10;AQAADwAAAGRycy9kb3ducmV2LnhtbE2Py07DMBBF90j8gzVIbKrWSSFVCXG6ALJjQwF1O42HJCIe&#10;p7H7gK9n6AaWR3d075lidXK9OtAYOs8G0lkCirj2tuPGwNtrNV2CChHZYu+ZDHxRgFV5eVFgbv2R&#10;X+iwjo2SEg45GmhjHHKtQ92SwzDzA7FkH350GAXHRtsRj1Luej1PkoV22LEstDjQQ0v153rvDITq&#10;nXbV96SeJJubxtN89/j8hMZcX6XJPahIp/h3DL/6og6lOG39nm1QvYFpdiu/RANZBkry5V0qvD2z&#10;Lgv937/8AVBLAwQUAAAACACHTuJAXNcwWekBAADdAwAADgAAAGRycy9lMm9Eb2MueG1srVPNjtMw&#10;EL4j8Q6W7zRpUXcharoHynJBsNIuDzC1ncSS/+Rxm/ZZeA1OXHicfQ3GTrcLy6UHcnDGnvE3830z&#10;Xt0crGF7FVF71/L5rOZMOeGldn3Lvz3cvnnHGSZwEox3quVHhfxm/frVagyNWvjBG6kiIxCHzRha&#10;PqQUmqpCMSgLOPNBOXJ2PlpItI19JSOMhG5Ntajrq2r0UYbohUKk083k5CfEeAmg7zot1MaLnVUu&#10;TahRGUhECQcdkK9LtV2nRPradagSMy0npqmslITsbV6r9QqaPkIYtDiVAJeU8IKTBe0o6RlqAwnY&#10;Lup/oKwW0aPv0kx4W01EiiLEYl6/0OZ+gKAKF5Iaw1l0/H+w4sv+LjItW77gzIGlhj9+//H48xdb&#10;vL3O6owBGwq6D3fxtEMyM9VDF23+Ewl2KIoez4qqQ2KCDq/qur5ektjiyVc9XwwR0yflLctGy412&#10;mSw0sP+MiZJR6FNIPjaOjS1/v1wsCQ5o8jrqOJk2UPXo+nIXvdHyVhuTb2Dstx9MZHvI3S9fpkS4&#10;f4XlJBvAYYorrmkuBgXyo5MsHQPp4ug58FyCVZIzo+j1ZIsAoUmgzSWRlNo4qiCrOumYra2XR+rC&#10;LkTdD6TEvFSZPdT1Uu9pQvNY/bkvSM+vcv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+D4XHdUA&#10;AAAHAQAADwAAAAAAAAABACAAAAAiAAAAZHJzL2Rvd25yZXYueG1sUEsBAhQAFAAAAAgAh07iQFzX&#10;MFnpAQAA3Q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新宋体"/>
          <w:sz w:val="44"/>
          <w:szCs w:val="44"/>
        </w:rPr>
        <w:t>浙江省市场监督管理局</w:t>
      </w:r>
      <w:r>
        <w:rPr>
          <w:rFonts w:eastAsia="黑体"/>
          <w:color w:val="000000"/>
          <w:sz w:val="28"/>
          <w:szCs w:val="28"/>
        </w:rPr>
        <w:t xml:space="preserve"> </w:t>
      </w:r>
      <w:r>
        <w:rPr>
          <w:rFonts w:eastAsia="黑体"/>
          <w:color w:val="000000"/>
          <w:spacing w:val="30"/>
          <w:kern w:val="144"/>
          <w:sz w:val="28"/>
          <w:szCs w:val="28"/>
        </w:rPr>
        <w:t>发布</w:t>
      </w:r>
    </w:p>
    <w:p w14:paraId="3DDC9D00">
      <w:pPr>
        <w:rPr>
          <w:rFonts w:eastAsia="黑体"/>
          <w:color w:val="000000"/>
          <w:sz w:val="44"/>
          <w:szCs w:val="44"/>
        </w:rPr>
      </w:pPr>
    </w:p>
    <w:p w14:paraId="133C80B5">
      <w:pPr>
        <w:rPr>
          <w:rFonts w:eastAsia="黑体"/>
          <w:color w:val="000000"/>
          <w:sz w:val="44"/>
          <w:szCs w:val="44"/>
        </w:rPr>
      </w:pPr>
      <w:r>
        <w:rPr>
          <w:rFonts w:eastAsia="黑体"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184785</wp:posOffset>
                </wp:positionV>
                <wp:extent cx="1764665" cy="792480"/>
                <wp:effectExtent l="4445" t="4445" r="21590" b="22225"/>
                <wp:wrapNone/>
                <wp:docPr id="4" name="自选图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4665" cy="792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C2F7EE">
                            <w:pPr>
                              <w:rPr>
                                <w:rFonts w:ascii="黑体"/>
                              </w:rPr>
                            </w:pPr>
                          </w:p>
                          <w:p w14:paraId="28764C04">
                            <w:pPr>
                              <w:jc w:val="center"/>
                              <w:rPr>
                                <w:rFonts w:hint="eastAsia" w:ascii="黑体" w:eastAsia="黑体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8"/>
                                <w:szCs w:val="28"/>
                              </w:rPr>
                              <w:t>JJF</w:t>
                            </w:r>
                            <w:r>
                              <w:rPr>
                                <w:rFonts w:hint="eastAsia" w:ascii="黑体" w:hAnsi="宋体" w:eastAsia="黑体" w:cs="Arial"/>
                                <w:color w:val="000000"/>
                                <w:sz w:val="28"/>
                                <w:szCs w:val="28"/>
                              </w:rPr>
                              <w:t>（浙）XXXX</w:t>
                            </w:r>
                            <w:r>
                              <w:rPr>
                                <w:rFonts w:hint="eastAsia" w:ascii="黑体" w:eastAsia="黑体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hint="eastAsia" w:ascii="黑体" w:eastAsia="黑体"/>
                                <w:sz w:val="28"/>
                                <w:szCs w:val="28"/>
                                <w:lang w:val="en-US" w:eastAsia="zh-CN"/>
                              </w:rPr>
                              <w:t>XXXX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239" o:spid="_x0000_s1026" o:spt="2" style="position:absolute;left:0pt;flip:y;margin-left:283.5pt;margin-top:14.55pt;height:62.4pt;width:138.95pt;z-index:251662336;mso-width-relative:page;mso-height-relative:page;" fillcolor="#FFFFFF" filled="t" stroked="t" coordsize="21600,21600" arcsize="0.166666666666667" o:gfxdata="UEsDBAoAAAAAAIdO4kAAAAAAAAAAAAAAAAAEAAAAZHJzL1BLAwQUAAAACACHTuJA+HV5BdkAAAAK&#10;AQAADwAAAGRycy9kb3ducmV2LnhtbE2Py07DMBBF90j8gzVI7KiT0uZFnC6QKoRAQrSoazcekoh4&#10;HNnu6+8ZVnQ5mqN7z61XZzuKI/owOFKQzhIQSK0zA3UKvrbrhwJEiJqMHh2hggsGWDW3N7WujDvR&#10;Jx43sRMcQqHSCvoYp0rK0PZodZi5CYl/385bHfn0nTRenzjcjnKeJJm0eiBu6PWEzz22P5uDVeDf&#10;TZ5P64+X4XTZele87rI3u1Pq/i5NnkBEPMd/GP70WR0adtq7A5kgRgXLLOctUcG8TEEwUCwWJYg9&#10;k8vHEmRTy+sJzS9QSwMEFAAAAAgAh07iQOs3VNksAgAAYgQAAA4AAABkcnMvZTJvRG9jLnhtbK1U&#10;vY4TMRDukXgHyz3ZJOT2LqtsriCEBsGJA3rHP1kj/8l2spuODvEMdFfyDvA2J8FbMPYu4e6gSMEW&#10;1ow98/mbb8a7uOy0Qnvug7SmxpPRGCNuqGXSbGv87u36yQVGIRLDiLKG1/jAA75cPn60aF3Fp7ax&#10;inGPAMSEqnU1bmJ0VVEE2nBNwsg6buBQWK9JBNdvC+ZJC+haFdPxuCxa65nzlvIQYHfVH+IB0Z8C&#10;aIWQlK8s3WluYo/quSIRSgqNdAEvM1shOI2vhQg8IlVjqDTmFS4Be5PWYrkg1dYT10g6UCCnUHhQ&#10;kybSwKVHqBWJBO28/AtKS+ptsCKOqNVFX0hWBKqYjB9oc90Qx3MtIHVwR9HD/4Olr/ZXHklW4xlG&#10;hmho+I9PX39+/Hz75fvttxs0fTpPGrUuVBB67a784AUwU8Gd8BoJJd17GKYsARSFuqzw4agw7yKi&#10;sDk5L2dleYYRhbPz+XR2kVtQ9DgJz/kQX3CrUTJq7O3OsDfQxgxN9i9DzDKzgSxhHzASWkHT9kSh&#10;SVmW54kwIA7BYP3GTJnBKsnWUqns+O3mmfIIUmu8zt+QfC9MGdTWeH42TcQJzLyAWQNTO9AtmG3m&#10;di8j3AUe5+9fwInYioSmJ5ARUhipGk7Yc8NQPDjoiIGHiBMFzRlGisO7TVaOjESqUyJBBmVAl9TJ&#10;vnfJit2mGxq6sewAo7BzXm4bUH6SCacgGL0s6PBM0mzf9TPon1/D8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4dXkF2QAAAAoBAAAPAAAAAAAAAAEAIAAAACIAAABkcnMvZG93bnJldi54bWxQSwEC&#10;FAAUAAAACACHTuJA6zdU2SwCAABiBAAADgAAAAAAAAABACAAAAAoAQAAZHJzL2Uyb0RvYy54bWxQ&#10;SwUGAAAAAAYABgBZAQAAx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5C2F7EE">
                      <w:pPr>
                        <w:rPr>
                          <w:rFonts w:ascii="黑体"/>
                        </w:rPr>
                      </w:pPr>
                    </w:p>
                    <w:p w14:paraId="28764C04">
                      <w:pPr>
                        <w:jc w:val="center"/>
                        <w:rPr>
                          <w:rFonts w:hint="eastAsia" w:ascii="黑体" w:eastAsia="黑体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黑体" w:eastAsia="黑体"/>
                          <w:sz w:val="28"/>
                          <w:szCs w:val="28"/>
                        </w:rPr>
                        <w:t>JJF</w:t>
                      </w:r>
                      <w:r>
                        <w:rPr>
                          <w:rFonts w:hint="eastAsia" w:ascii="黑体" w:hAnsi="宋体" w:eastAsia="黑体" w:cs="Arial"/>
                          <w:color w:val="000000"/>
                          <w:sz w:val="28"/>
                          <w:szCs w:val="28"/>
                        </w:rPr>
                        <w:t>（浙）XXXX</w:t>
                      </w:r>
                      <w:r>
                        <w:rPr>
                          <w:rFonts w:hint="eastAsia" w:ascii="黑体" w:eastAsia="黑体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hint="eastAsia" w:ascii="黑体" w:eastAsia="黑体"/>
                          <w:sz w:val="28"/>
                          <w:szCs w:val="28"/>
                          <w:lang w:val="en-US" w:eastAsia="zh-CN"/>
                        </w:rPr>
                        <w:t>XXXX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eastAsia="黑体"/>
          <w:color w:val="000000"/>
          <w:sz w:val="44"/>
          <w:szCs w:val="44"/>
        </w:rPr>
        <w:t>周围型双能X射线骨密度</w:t>
      </w:r>
    </w:p>
    <w:p w14:paraId="30023B3D">
      <w:pPr>
        <w:ind w:firstLine="1320" w:firstLineChars="300"/>
        <w:rPr>
          <w:rFonts w:eastAsia="黑体"/>
          <w:color w:val="000000"/>
          <w:sz w:val="44"/>
          <w:szCs w:val="44"/>
        </w:rPr>
      </w:pPr>
      <w:r>
        <w:rPr>
          <w:rFonts w:eastAsia="黑体"/>
          <w:color w:val="000000"/>
          <w:sz w:val="44"/>
          <w:szCs w:val="44"/>
        </w:rPr>
        <w:t>仪校准规范</w:t>
      </w:r>
    </w:p>
    <w:p w14:paraId="24774DEC">
      <w:pPr>
        <w:ind w:firstLine="560" w:firstLineChars="200"/>
        <w:rPr>
          <w:rFonts w:eastAsia="黑体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Calibration specification for peripheral</w:t>
      </w:r>
      <w:r>
        <w:rPr>
          <w:rFonts w:eastAsia="黑体"/>
          <w:sz w:val="28"/>
          <w:szCs w:val="28"/>
        </w:rPr>
        <w:t xml:space="preserve"> </w:t>
      </w:r>
    </w:p>
    <w:p w14:paraId="274F2B79">
      <w:pPr>
        <w:ind w:firstLine="560" w:firstLineChars="200"/>
        <w:rPr>
          <w:rFonts w:eastAsia="黑体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dual energy X-ray absorptiometry</w:t>
      </w:r>
      <w:r>
        <w:rPr>
          <w:rFonts w:hint="eastAsia" w:eastAsia="黑体"/>
          <w:color w:val="000000"/>
          <w:sz w:val="28"/>
          <w:szCs w:val="28"/>
        </w:rPr>
        <w:t>s</w:t>
      </w:r>
    </w:p>
    <w:p w14:paraId="7AA85818">
      <w:pPr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0</wp:posOffset>
                </wp:positionV>
                <wp:extent cx="6000750" cy="0"/>
                <wp:effectExtent l="0" t="4445" r="0" b="5080"/>
                <wp:wrapNone/>
                <wp:docPr id="3" name="直线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8" o:spid="_x0000_s1026" o:spt="20" style="position:absolute;left:0pt;margin-left:-22.5pt;margin-top:0pt;height:0pt;width:472.5pt;z-index:251661312;mso-width-relative:page;mso-height-relative:page;" filled="f" stroked="t" coordsize="21600,21600" o:gfxdata="UEsDBAoAAAAAAIdO4kAAAAAAAAAAAAAAAAAEAAAAZHJzL1BLAwQUAAAACACHTuJAPiLymtQAAAAF&#10;AQAADwAAAGRycy9kb3ducmV2LnhtbE2PT0/DMAzF70h8h8hIXKYt2WAIuqY7AL1xYQNx9RqvrWic&#10;rsn+wKfHO42L5adnPf9evjz5Th1oiG1gC9OJAUVcBddybeFjXY4fQcWE7LALTBZ+KMKyuL7KMXPh&#10;yO90WKVaSQjHDC00KfWZ1rFqyGOchJ5YvG0YPCaRQ63dgEcJ952eGfOgPbYsHxrs6bmh6nu19xZi&#10;+Um78ndUjczXXR1otnt5e0Vrb2+mZgEq0SldjuGML+hQCNMm7NlF1VkY38+lS7IgU+wnY2TZnKUu&#10;cv2fvvgDUEsDBBQAAAAIAIdO4kDelP596QEAAN0DAAAOAAAAZHJzL2Uyb0RvYy54bWytU82O0zAQ&#10;viPxDpbvNGlXXZao6R4oywXBSgsPMLWdxJL/5HGb9ll4DU5ceJx9DcZOtwvLpQdycMae8TfzfTNe&#10;3R6sYXsVUXvX8vms5kw54aV2fcu/fb17c8MZJnASjHeq5UeF/Hb9+tVqDI1a+MEbqSIjEIfNGFo+&#10;pBSaqkIxKAs480E5cnY+Wki0jX0lI4yEbk21qOvravRRhuiFQqTTzeTkJ8R4CaDvOi3UxoudVS5N&#10;qFEZSEQJBx2Qr0u1XadE+tJ1qBIzLSemqayUhOxtXqv1Cpo+Qhi0OJUAl5TwgpMF7SjpGWoDCdgu&#10;6n+grBbRo+/STHhbTUSKIsRiXr/Q5mGAoAoXkhrDWXT8f7Di8/4+Mi1bfsWZA0sNf/z+4/HnL7a4&#10;usnqjAEbCnoI9/G0QzIz1UMXbf4TCXYoih7PiqpDYoIOr+u6frskscWTr3q+GCKmj8pblo2WG+0y&#10;WWhg/wkTJaPQp5B8bBwbW/5uuVgSHNDkddRxMm2g6tH15S56o+WdNibfwNhv35vI9pC7X75MiXD/&#10;CstJNoDDFFdc01wMCuQHJ1k6BtLF0XPguQSrJGdG0evJFgFCk0CbSyIptXFUQVZ10jFbWy+P1IVd&#10;iLofSIl5qTJ7qOul3tOE5rH6c1+Qnl/l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+IvKa1AAA&#10;AAUBAAAPAAAAAAAAAAEAIAAAACIAAABkcnMvZG93bnJldi54bWxQSwECFAAUAAAACACHTuJA3pT+&#10;fekBAADdAwAADgAAAAAAAAABACAAAAAj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黑体"/>
          <w:color w:val="000000"/>
          <w:sz w:val="28"/>
          <w:szCs w:val="28"/>
        </w:rPr>
        <w:t xml:space="preserve">               </w:t>
      </w:r>
    </w:p>
    <w:p w14:paraId="050CBDFC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28745278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77CA4F16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48C06828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4E496AFF">
      <w:pPr>
        <w:snapToGrid w:val="0"/>
        <w:rPr>
          <w:rFonts w:eastAsia="黑体"/>
          <w:color w:val="000000"/>
          <w:sz w:val="28"/>
          <w:szCs w:val="28"/>
        </w:rPr>
      </w:pPr>
    </w:p>
    <w:p w14:paraId="4D583E42">
      <w:pPr>
        <w:tabs>
          <w:tab w:val="left" w:pos="2410"/>
        </w:tabs>
        <w:snapToGrid w:val="0"/>
        <w:spacing w:line="360" w:lineRule="auto"/>
        <w:ind w:firstLine="1120" w:firstLineChars="400"/>
        <w:rPr>
          <w:rFonts w:ascii="黑体" w:hAnsi="黑体"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归 口  单 位</w:t>
      </w:r>
      <w:r>
        <w:rPr>
          <w:rFonts w:ascii="黑体" w:hAnsi="黑体" w:eastAsia="黑体"/>
          <w:color w:val="000000"/>
          <w:sz w:val="28"/>
          <w:szCs w:val="28"/>
        </w:rPr>
        <w:t>：</w:t>
      </w:r>
      <w:r>
        <w:rPr>
          <w:rFonts w:ascii="黑体" w:hAnsi="黑体" w:eastAsia="黑体"/>
          <w:color w:val="000000"/>
          <w:sz w:val="28"/>
        </w:rPr>
        <w:t>浙江省市场监督管理局</w:t>
      </w:r>
    </w:p>
    <w:p w14:paraId="388E8AA5">
      <w:pPr>
        <w:tabs>
          <w:tab w:val="left" w:pos="2410"/>
        </w:tabs>
        <w:snapToGrid w:val="0"/>
        <w:spacing w:line="360" w:lineRule="auto"/>
        <w:ind w:left="3073" w:leftChars="464" w:hanging="1960" w:hangingChars="700"/>
        <w:rPr>
          <w:rFonts w:hint="eastAsia" w:ascii="黑体" w:hAnsi="黑体" w:eastAsia="黑体"/>
          <w:color w:val="000000"/>
          <w:sz w:val="28"/>
          <w:szCs w:val="28"/>
          <w:lang w:eastAsia="zh-CN"/>
        </w:rPr>
      </w:pPr>
      <w:r>
        <w:rPr>
          <w:rFonts w:ascii="黑体" w:hAnsi="黑体" w:eastAsia="黑体"/>
          <w:color w:val="000000"/>
          <w:sz w:val="28"/>
          <w:szCs w:val="28"/>
        </w:rPr>
        <w:t>主要起草单位：</w:t>
      </w:r>
      <w:r>
        <w:rPr>
          <w:rFonts w:ascii="黑体" w:hAnsi="黑体" w:eastAsia="黑体"/>
          <w:color w:val="000000"/>
          <w:sz w:val="28"/>
        </w:rPr>
        <w:t>宁波市计量测试研究院</w:t>
      </w:r>
      <w:r>
        <w:rPr>
          <w:rFonts w:hint="eastAsia" w:ascii="黑体" w:hAnsi="黑体" w:eastAsia="黑体"/>
          <w:color w:val="000000"/>
          <w:sz w:val="28"/>
          <w:lang w:eastAsia="zh-CN"/>
        </w:rPr>
        <w:t>（</w:t>
      </w:r>
      <w:r>
        <w:rPr>
          <w:rFonts w:hint="eastAsia" w:ascii="黑体" w:hAnsi="黑体" w:eastAsia="黑体"/>
          <w:color w:val="000000"/>
          <w:sz w:val="28"/>
          <w:lang w:val="en-US" w:eastAsia="zh-CN"/>
        </w:rPr>
        <w:t xml:space="preserve">宁波新材料检验检测中心 </w:t>
      </w:r>
      <w:r>
        <w:rPr>
          <w:rFonts w:hint="eastAsia" w:ascii="黑体" w:hAnsi="黑体" w:eastAsia="黑体"/>
          <w:color w:val="000000"/>
          <w:sz w:val="28"/>
          <w:lang w:eastAsia="zh-CN"/>
        </w:rPr>
        <w:t>）</w:t>
      </w:r>
    </w:p>
    <w:p w14:paraId="51E4CC95">
      <w:pPr>
        <w:tabs>
          <w:tab w:val="left" w:pos="2410"/>
        </w:tabs>
        <w:snapToGrid w:val="0"/>
        <w:spacing w:line="360" w:lineRule="auto"/>
        <w:ind w:firstLine="1120" w:firstLineChars="400"/>
        <w:rPr>
          <w:rFonts w:ascii="黑体" w:hAnsi="黑体" w:eastAsia="黑体"/>
          <w:color w:val="000000"/>
          <w:sz w:val="28"/>
        </w:rPr>
      </w:pPr>
      <w:r>
        <w:rPr>
          <w:rFonts w:ascii="黑体" w:hAnsi="黑体" w:eastAsia="黑体"/>
          <w:color w:val="000000"/>
          <w:sz w:val="28"/>
          <w:szCs w:val="28"/>
        </w:rPr>
        <w:t>参加起草单位</w:t>
      </w:r>
      <w:r>
        <w:rPr>
          <w:rFonts w:ascii="黑体" w:hAnsi="黑体" w:eastAsia="黑体"/>
          <w:color w:val="000000"/>
          <w:sz w:val="28"/>
        </w:rPr>
        <w:t>：</w:t>
      </w:r>
    </w:p>
    <w:p w14:paraId="2C49FA0E">
      <w:pPr>
        <w:snapToGrid w:val="0"/>
        <w:spacing w:line="360" w:lineRule="auto"/>
        <w:ind w:firstLine="2520" w:firstLineChars="900"/>
        <w:rPr>
          <w:color w:val="000000"/>
          <w:sz w:val="28"/>
          <w:szCs w:val="28"/>
        </w:rPr>
      </w:pPr>
    </w:p>
    <w:p w14:paraId="7B5A46BE">
      <w:pPr>
        <w:snapToGrid w:val="0"/>
        <w:spacing w:line="360" w:lineRule="auto"/>
        <w:jc w:val="center"/>
        <w:rPr>
          <w:rFonts w:eastAsia="黑体"/>
          <w:color w:val="000000"/>
          <w:sz w:val="28"/>
          <w:szCs w:val="28"/>
        </w:rPr>
      </w:pPr>
    </w:p>
    <w:p w14:paraId="63486328">
      <w:pPr>
        <w:snapToGrid w:val="0"/>
        <w:spacing w:line="360" w:lineRule="auto"/>
        <w:jc w:val="center"/>
        <w:rPr>
          <w:rFonts w:eastAsia="黑体"/>
          <w:color w:val="000000"/>
          <w:sz w:val="28"/>
          <w:szCs w:val="28"/>
        </w:rPr>
      </w:pPr>
    </w:p>
    <w:p w14:paraId="64E0FFD6">
      <w:pPr>
        <w:snapToGrid w:val="0"/>
        <w:rPr>
          <w:rFonts w:eastAsia="黑体"/>
          <w:color w:val="000000"/>
          <w:sz w:val="28"/>
          <w:szCs w:val="28"/>
        </w:rPr>
      </w:pPr>
    </w:p>
    <w:p w14:paraId="1EB46B8B">
      <w:pPr>
        <w:snapToGrid w:val="0"/>
        <w:jc w:val="center"/>
        <w:rPr>
          <w:rFonts w:eastAsia="黑体"/>
          <w:color w:val="000000"/>
          <w:sz w:val="28"/>
          <w:szCs w:val="28"/>
        </w:rPr>
      </w:pPr>
    </w:p>
    <w:p w14:paraId="732C37CD">
      <w:pPr>
        <w:snapToGrid w:val="0"/>
        <w:rPr>
          <w:color w:val="000000"/>
          <w:sz w:val="28"/>
          <w:szCs w:val="28"/>
        </w:rPr>
      </w:pPr>
    </w:p>
    <w:p w14:paraId="7218A510">
      <w:pPr>
        <w:snapToGrid w:val="0"/>
        <w:ind w:firstLine="980" w:firstLineChars="350"/>
        <w:rPr>
          <w:color w:val="000000"/>
          <w:sz w:val="28"/>
          <w:szCs w:val="28"/>
        </w:rPr>
      </w:pPr>
    </w:p>
    <w:p w14:paraId="26789442">
      <w:pPr>
        <w:snapToGrid w:val="0"/>
        <w:jc w:val="center"/>
        <w:rPr>
          <w:color w:val="000000"/>
          <w:sz w:val="28"/>
          <w:szCs w:val="28"/>
        </w:rPr>
      </w:pPr>
    </w:p>
    <w:p w14:paraId="2202A49A">
      <w:pPr>
        <w:snapToGrid w:val="0"/>
        <w:jc w:val="center"/>
        <w:rPr>
          <w:color w:val="000000"/>
          <w:sz w:val="28"/>
          <w:szCs w:val="28"/>
        </w:rPr>
      </w:pPr>
    </w:p>
    <w:p w14:paraId="11EF2AA0">
      <w:pPr>
        <w:snapToGrid w:val="0"/>
        <w:jc w:val="center"/>
        <w:rPr>
          <w:color w:val="000000"/>
          <w:sz w:val="28"/>
          <w:szCs w:val="28"/>
        </w:rPr>
      </w:pPr>
    </w:p>
    <w:p w14:paraId="189C5997">
      <w:pPr>
        <w:snapToGrid w:val="0"/>
        <w:jc w:val="center"/>
        <w:rPr>
          <w:color w:val="000000"/>
          <w:sz w:val="28"/>
          <w:szCs w:val="28"/>
        </w:rPr>
      </w:pPr>
    </w:p>
    <w:p w14:paraId="2A4295ED">
      <w:pPr>
        <w:snapToGri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本规范委托宁波市计量测试研究院</w:t>
      </w:r>
      <w:r>
        <w:rPr>
          <w:rFonts w:hint="eastAsia"/>
          <w:color w:val="000000"/>
          <w:sz w:val="28"/>
          <w:szCs w:val="28"/>
          <w:lang w:eastAsia="zh-CN"/>
        </w:rPr>
        <w:t>（</w:t>
      </w:r>
      <w:r>
        <w:rPr>
          <w:rFonts w:hint="eastAsia"/>
          <w:color w:val="000000"/>
          <w:sz w:val="28"/>
          <w:szCs w:val="28"/>
          <w:lang w:val="en-US" w:eastAsia="zh-CN"/>
        </w:rPr>
        <w:t xml:space="preserve">宁波新材料检验检测中心 </w:t>
      </w:r>
      <w:r>
        <w:rPr>
          <w:rFonts w:hint="eastAsia"/>
          <w:color w:val="000000"/>
          <w:sz w:val="28"/>
          <w:szCs w:val="28"/>
          <w:lang w:eastAsia="zh-CN"/>
        </w:rPr>
        <w:t>）</w:t>
      </w:r>
      <w:r>
        <w:rPr>
          <w:color w:val="000000"/>
          <w:sz w:val="28"/>
          <w:szCs w:val="28"/>
        </w:rPr>
        <w:t>负责解释</w:t>
      </w:r>
    </w:p>
    <w:p w14:paraId="2F20D950">
      <w:pPr>
        <w:snapToGrid w:val="0"/>
        <w:spacing w:line="360" w:lineRule="auto"/>
        <w:rPr>
          <w:rFonts w:eastAsia="黑体"/>
          <w:color w:val="000000"/>
          <w:sz w:val="28"/>
          <w:szCs w:val="28"/>
        </w:rPr>
      </w:pPr>
    </w:p>
    <w:p w14:paraId="58632B2B">
      <w:pPr>
        <w:snapToGrid w:val="0"/>
        <w:spacing w:line="360" w:lineRule="auto"/>
        <w:rPr>
          <w:rFonts w:eastAsia="黑体"/>
          <w:color w:val="000000"/>
          <w:sz w:val="28"/>
          <w:szCs w:val="28"/>
        </w:rPr>
      </w:pPr>
    </w:p>
    <w:p w14:paraId="6A01CA57">
      <w:pPr>
        <w:snapToGrid w:val="0"/>
        <w:spacing w:line="360" w:lineRule="auto"/>
        <w:rPr>
          <w:rFonts w:eastAsia="黑体"/>
          <w:color w:val="000000"/>
          <w:sz w:val="28"/>
          <w:szCs w:val="28"/>
        </w:rPr>
      </w:pPr>
    </w:p>
    <w:p w14:paraId="55313525">
      <w:pPr>
        <w:snapToGrid w:val="0"/>
        <w:spacing w:line="360" w:lineRule="auto"/>
        <w:rPr>
          <w:rFonts w:eastAsia="黑体"/>
          <w:color w:val="000000"/>
          <w:sz w:val="28"/>
          <w:szCs w:val="28"/>
        </w:rPr>
      </w:pPr>
    </w:p>
    <w:p w14:paraId="1B6364F7">
      <w:pPr>
        <w:snapToGrid w:val="0"/>
        <w:spacing w:line="360" w:lineRule="auto"/>
        <w:rPr>
          <w:rFonts w:eastAsia="黑体"/>
          <w:color w:val="000000"/>
          <w:sz w:val="28"/>
          <w:szCs w:val="28"/>
        </w:rPr>
      </w:pPr>
    </w:p>
    <w:p w14:paraId="2EC460AD">
      <w:pPr>
        <w:snapToGrid w:val="0"/>
        <w:spacing w:line="360" w:lineRule="auto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本规范主要起草人：</w:t>
      </w:r>
    </w:p>
    <w:p w14:paraId="0295AE46">
      <w:pPr>
        <w:snapToGrid w:val="0"/>
        <w:spacing w:line="360" w:lineRule="auto"/>
        <w:ind w:firstLine="1400" w:firstLineChars="500"/>
        <w:rPr>
          <w:rFonts w:ascii="宋体" w:hAnsi="宋体" w:cs="宋体"/>
          <w:sz w:val="28"/>
        </w:rPr>
      </w:pP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XXXX</w:t>
      </w:r>
      <w:r>
        <w:rPr>
          <w:rFonts w:hint="eastAsia" w:ascii="黑体" w:hAnsi="黑体" w:eastAsia="黑体"/>
          <w:color w:val="000000"/>
          <w:sz w:val="28"/>
        </w:rPr>
        <w:t>（宁波市计量测试研究院</w:t>
      </w:r>
      <w:r>
        <w:rPr>
          <w:rFonts w:hint="eastAsia" w:ascii="黑体" w:hAnsi="黑体" w:eastAsia="黑体"/>
          <w:color w:val="000000"/>
          <w:sz w:val="28"/>
          <w:lang w:eastAsia="zh-CN"/>
        </w:rPr>
        <w:t>（</w:t>
      </w:r>
      <w:r>
        <w:rPr>
          <w:rFonts w:hint="eastAsia" w:ascii="黑体" w:hAnsi="黑体" w:eastAsia="黑体"/>
          <w:color w:val="000000"/>
          <w:sz w:val="28"/>
          <w:lang w:val="en-US" w:eastAsia="zh-CN"/>
        </w:rPr>
        <w:t>宁波新材料检验检测中心</w:t>
      </w:r>
      <w:r>
        <w:rPr>
          <w:rFonts w:hint="eastAsia" w:ascii="黑体" w:hAnsi="黑体" w:eastAsia="黑体"/>
          <w:color w:val="000000"/>
          <w:sz w:val="28"/>
          <w:lang w:eastAsia="zh-CN"/>
        </w:rPr>
        <w:t>）</w:t>
      </w:r>
      <w:r>
        <w:rPr>
          <w:rFonts w:hint="eastAsia" w:ascii="黑体" w:hAnsi="黑体" w:eastAsia="黑体"/>
          <w:color w:val="000000"/>
          <w:sz w:val="28"/>
        </w:rPr>
        <w:t>）</w:t>
      </w:r>
    </w:p>
    <w:p w14:paraId="0AAD69F3">
      <w:pPr>
        <w:tabs>
          <w:tab w:val="left" w:pos="1560"/>
        </w:tabs>
        <w:spacing w:line="360" w:lineRule="auto"/>
        <w:rPr>
          <w:rFonts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</w:rPr>
        <w:t>参加</w:t>
      </w:r>
      <w:r>
        <w:rPr>
          <w:rFonts w:eastAsia="黑体"/>
          <w:color w:val="000000"/>
          <w:sz w:val="28"/>
          <w:szCs w:val="28"/>
        </w:rPr>
        <w:t>起草人：</w:t>
      </w:r>
    </w:p>
    <w:p w14:paraId="49F24CC8">
      <w:pPr>
        <w:snapToGrid w:val="0"/>
        <w:spacing w:line="360" w:lineRule="auto"/>
        <w:ind w:firstLine="1400" w:firstLineChars="500"/>
        <w:rPr>
          <w:rFonts w:ascii="宋体" w:hAnsi="宋体" w:cs="宋体"/>
          <w:sz w:val="28"/>
        </w:rPr>
      </w:pP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XXXX</w:t>
      </w:r>
      <w:r>
        <w:rPr>
          <w:rFonts w:hint="eastAsia" w:ascii="黑体" w:hAnsi="黑体" w:eastAsia="黑体"/>
          <w:color w:val="000000"/>
          <w:sz w:val="28"/>
        </w:rPr>
        <w:t>（宁波市计量测试研究院</w:t>
      </w:r>
      <w:r>
        <w:rPr>
          <w:rFonts w:hint="eastAsia" w:ascii="黑体" w:hAnsi="黑体" w:eastAsia="黑体"/>
          <w:color w:val="000000"/>
          <w:sz w:val="28"/>
          <w:lang w:eastAsia="zh-CN"/>
        </w:rPr>
        <w:t>（</w:t>
      </w:r>
      <w:r>
        <w:rPr>
          <w:rFonts w:hint="eastAsia" w:ascii="黑体" w:hAnsi="黑体" w:eastAsia="黑体"/>
          <w:color w:val="000000"/>
          <w:sz w:val="28"/>
          <w:lang w:val="en-US" w:eastAsia="zh-CN"/>
        </w:rPr>
        <w:t>宁波新材料检验检测中心</w:t>
      </w:r>
      <w:r>
        <w:rPr>
          <w:rFonts w:hint="eastAsia" w:ascii="黑体" w:hAnsi="黑体" w:eastAsia="黑体"/>
          <w:color w:val="000000"/>
          <w:sz w:val="28"/>
          <w:lang w:eastAsia="zh-CN"/>
        </w:rPr>
        <w:t>）</w:t>
      </w:r>
      <w:r>
        <w:rPr>
          <w:rFonts w:hint="eastAsia" w:ascii="黑体" w:hAnsi="黑体" w:eastAsia="黑体"/>
          <w:color w:val="000000"/>
          <w:sz w:val="28"/>
        </w:rPr>
        <w:t>）</w:t>
      </w:r>
    </w:p>
    <w:p w14:paraId="443FF2B2">
      <w:pPr>
        <w:tabs>
          <w:tab w:val="left" w:pos="1560"/>
        </w:tabs>
        <w:spacing w:line="360" w:lineRule="auto"/>
        <w:rPr>
          <w:color w:val="000000"/>
          <w:sz w:val="28"/>
          <w:szCs w:val="28"/>
        </w:rPr>
      </w:pPr>
      <w:bookmarkStart w:id="45" w:name="_GoBack"/>
      <w:bookmarkEnd w:id="45"/>
    </w:p>
    <w:p w14:paraId="033134D1">
      <w:pPr>
        <w:snapToGrid w:val="0"/>
        <w:spacing w:line="360" w:lineRule="auto"/>
        <w:ind w:firstLine="700" w:firstLineChars="250"/>
        <w:rPr>
          <w:color w:val="000000"/>
          <w:sz w:val="28"/>
          <w:szCs w:val="28"/>
        </w:rPr>
      </w:pPr>
    </w:p>
    <w:p w14:paraId="5C9D291B">
      <w:pPr>
        <w:snapToGrid w:val="0"/>
        <w:spacing w:line="480" w:lineRule="auto"/>
        <w:rPr>
          <w:color w:val="000000"/>
          <w:sz w:val="28"/>
          <w:szCs w:val="28"/>
        </w:rPr>
      </w:pPr>
    </w:p>
    <w:p w14:paraId="5452E218">
      <w:pPr>
        <w:snapToGrid w:val="0"/>
        <w:spacing w:line="480" w:lineRule="auto"/>
        <w:rPr>
          <w:color w:val="000000"/>
          <w:sz w:val="28"/>
          <w:szCs w:val="28"/>
        </w:rPr>
      </w:pPr>
    </w:p>
    <w:p w14:paraId="64042F2E">
      <w:pPr>
        <w:snapToGrid w:val="0"/>
        <w:spacing w:line="480" w:lineRule="auto"/>
        <w:rPr>
          <w:color w:val="000000"/>
          <w:sz w:val="28"/>
          <w:szCs w:val="28"/>
        </w:rPr>
      </w:pPr>
    </w:p>
    <w:p w14:paraId="0E47CB45">
      <w:pPr>
        <w:snapToGrid w:val="0"/>
        <w:spacing w:line="480" w:lineRule="auto"/>
        <w:rPr>
          <w:color w:val="000000"/>
          <w:sz w:val="28"/>
          <w:szCs w:val="28"/>
        </w:rPr>
      </w:pPr>
    </w:p>
    <w:p w14:paraId="07D41817">
      <w:pPr>
        <w:snapToGrid w:val="0"/>
        <w:spacing w:line="480" w:lineRule="auto"/>
        <w:rPr>
          <w:color w:val="000000"/>
          <w:sz w:val="28"/>
          <w:szCs w:val="28"/>
        </w:rPr>
      </w:pPr>
    </w:p>
    <w:p w14:paraId="7609E9B2">
      <w:pPr>
        <w:snapToGrid w:val="0"/>
        <w:spacing w:line="480" w:lineRule="auto"/>
        <w:rPr>
          <w:color w:val="000000"/>
          <w:sz w:val="28"/>
          <w:szCs w:val="28"/>
        </w:rPr>
      </w:pPr>
    </w:p>
    <w:p w14:paraId="4196E88B">
      <w:pPr>
        <w:snapToGrid w:val="0"/>
        <w:spacing w:line="480" w:lineRule="auto"/>
        <w:rPr>
          <w:color w:val="000000"/>
          <w:sz w:val="28"/>
          <w:szCs w:val="28"/>
        </w:rPr>
      </w:pPr>
    </w:p>
    <w:p w14:paraId="40941E43">
      <w:pPr>
        <w:snapToGrid w:val="0"/>
        <w:spacing w:line="480" w:lineRule="auto"/>
        <w:rPr>
          <w:color w:val="000000"/>
          <w:sz w:val="28"/>
          <w:szCs w:val="28"/>
        </w:rPr>
      </w:pPr>
    </w:p>
    <w:p w14:paraId="50B1E1F1">
      <w:pPr>
        <w:snapToGrid w:val="0"/>
        <w:spacing w:line="480" w:lineRule="auto"/>
        <w:rPr>
          <w:color w:val="000000"/>
          <w:sz w:val="28"/>
          <w:szCs w:val="28"/>
        </w:rPr>
      </w:pPr>
    </w:p>
    <w:p w14:paraId="1B16E372">
      <w:pPr>
        <w:pStyle w:val="16"/>
        <w:rPr>
          <w:rFonts w:ascii="黑体" w:eastAsia="黑体"/>
          <w:b w:val="0"/>
          <w:sz w:val="44"/>
          <w:szCs w:val="44"/>
        </w:rPr>
        <w:sectPr>
          <w:headerReference r:id="rId7" w:type="default"/>
          <w:footerReference r:id="rId8" w:type="default"/>
          <w:pgSz w:w="11906" w:h="16838"/>
          <w:pgMar w:top="1440" w:right="1797" w:bottom="1440" w:left="1797" w:header="851" w:footer="992" w:gutter="0"/>
          <w:pgNumType w:fmt="upperRoman" w:start="1"/>
          <w:cols w:space="720" w:num="1"/>
          <w:docGrid w:type="linesAndChars" w:linePitch="312" w:charSpace="0"/>
        </w:sectPr>
      </w:pPr>
    </w:p>
    <w:p w14:paraId="5A582717">
      <w:pPr>
        <w:pStyle w:val="16"/>
        <w:rPr>
          <w:b w:val="0"/>
          <w:sz w:val="44"/>
          <w:szCs w:val="44"/>
        </w:rPr>
      </w:pPr>
      <w:r>
        <w:rPr>
          <w:rFonts w:hint="eastAsia" w:ascii="黑体" w:eastAsia="黑体"/>
          <w:b w:val="0"/>
          <w:sz w:val="44"/>
          <w:szCs w:val="44"/>
        </w:rPr>
        <w:t>目</w:t>
      </w:r>
      <w:r>
        <w:rPr>
          <w:b w:val="0"/>
          <w:sz w:val="44"/>
          <w:szCs w:val="44"/>
        </w:rPr>
        <w:t xml:space="preserve">  </w:t>
      </w:r>
      <w:r>
        <w:rPr>
          <w:rFonts w:hint="eastAsia" w:ascii="黑体" w:eastAsia="黑体"/>
          <w:b w:val="0"/>
          <w:sz w:val="44"/>
          <w:szCs w:val="44"/>
        </w:rPr>
        <w:t>录</w:t>
      </w:r>
    </w:p>
    <w:p w14:paraId="226E61B5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rPr>
          <w:rStyle w:val="27"/>
        </w:rPr>
        <w:fldChar w:fldCharType="begin"/>
      </w:r>
      <w:r>
        <w:rPr>
          <w:rStyle w:val="27"/>
          <w:rFonts w:hAnsi="Times New Roman"/>
          <w:b w:val="0"/>
          <w:szCs w:val="24"/>
        </w:rPr>
        <w:instrText xml:space="preserve"> TOC \o "1-2" \h \z </w:instrText>
      </w:r>
      <w:r>
        <w:rPr>
          <w:rStyle w:val="27"/>
        </w:rPr>
        <w:fldChar w:fldCharType="separate"/>
      </w:r>
      <w:r>
        <w:fldChar w:fldCharType="begin"/>
      </w:r>
      <w:r>
        <w:instrText xml:space="preserve"> HYPERLINK \l "_Toc150676729" </w:instrText>
      </w:r>
      <w:r>
        <w:fldChar w:fldCharType="separate"/>
      </w:r>
      <w:r>
        <w:rPr>
          <w:rStyle w:val="27"/>
          <w:rFonts w:ascii="宋体"/>
          <w:b w:val="0"/>
        </w:rPr>
        <w:t>引  言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_Toc150676729 \h </w:instrText>
      </w:r>
      <w:r>
        <w:rPr>
          <w:b w:val="0"/>
        </w:rPr>
        <w:fldChar w:fldCharType="separate"/>
      </w:r>
      <w:r>
        <w:rPr>
          <w:b w:val="0"/>
        </w:rPr>
        <w:t>II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447BD03F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"_Toc150676730" </w:instrText>
      </w:r>
      <w:r>
        <w:fldChar w:fldCharType="separate"/>
      </w:r>
      <w:r>
        <w:rPr>
          <w:rStyle w:val="27"/>
          <w:rFonts w:hAnsi="Times New Roman"/>
          <w:b w:val="0"/>
        </w:rPr>
        <w:t>1 范围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_Toc150676730 \h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4D01345A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"_Toc150676731" </w:instrText>
      </w:r>
      <w:r>
        <w:fldChar w:fldCharType="separate"/>
      </w:r>
      <w:r>
        <w:rPr>
          <w:rStyle w:val="27"/>
          <w:rFonts w:hAnsi="Times New Roman"/>
          <w:b w:val="0"/>
        </w:rPr>
        <w:t>2 引用文件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_Toc150676731 \h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270F866A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"_Toc150676732" </w:instrText>
      </w:r>
      <w:r>
        <w:fldChar w:fldCharType="separate"/>
      </w:r>
      <w:r>
        <w:rPr>
          <w:rStyle w:val="27"/>
          <w:rFonts w:hAnsi="Times New Roman"/>
          <w:b w:val="0"/>
        </w:rPr>
        <w:t xml:space="preserve">3 </w:t>
      </w:r>
      <w:r>
        <w:rPr>
          <w:rStyle w:val="27"/>
          <w:rFonts w:hint="eastAsia" w:hAnsi="Times New Roman"/>
          <w:b w:val="0"/>
        </w:rPr>
        <w:t>术语和计量单位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_Toc150676732 \h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2E0F8ABB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"_Toc150676734" </w:instrText>
      </w:r>
      <w:r>
        <w:fldChar w:fldCharType="separate"/>
      </w:r>
      <w:r>
        <w:rPr>
          <w:rStyle w:val="27"/>
          <w:rFonts w:hAnsi="Times New Roman"/>
          <w:b w:val="0"/>
        </w:rPr>
        <w:t>4 概述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_Toc150676734 \h </w:instrText>
      </w:r>
      <w:r>
        <w:rPr>
          <w:b w:val="0"/>
        </w:rPr>
        <w:fldChar w:fldCharType="separate"/>
      </w:r>
      <w:r>
        <w:rPr>
          <w:b w:val="0"/>
        </w:rPr>
        <w:t>2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3CCD0F96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"_Toc150676735" </w:instrText>
      </w:r>
      <w:r>
        <w:fldChar w:fldCharType="separate"/>
      </w:r>
      <w:r>
        <w:rPr>
          <w:rStyle w:val="27"/>
          <w:rFonts w:hint="eastAsia"/>
          <w:bCs w:val="0"/>
        </w:rPr>
        <w:t>5</w:t>
      </w:r>
      <w:r>
        <w:rPr>
          <w:rStyle w:val="27"/>
          <w:bCs w:val="0"/>
        </w:rPr>
        <w:t xml:space="preserve"> 计量特性</w:t>
      </w:r>
      <w:r>
        <w:rPr>
          <w:bCs w:val="0"/>
        </w:rPr>
        <w:tab/>
      </w:r>
      <w:r>
        <w:rPr>
          <w:bCs w:val="0"/>
        </w:rPr>
        <w:fldChar w:fldCharType="begin"/>
      </w:r>
      <w:r>
        <w:rPr>
          <w:bCs w:val="0"/>
        </w:rPr>
        <w:instrText xml:space="preserve"> PAGEREF _Toc150676735 \h </w:instrText>
      </w:r>
      <w:r>
        <w:rPr>
          <w:bCs w:val="0"/>
        </w:rPr>
        <w:fldChar w:fldCharType="separate"/>
      </w:r>
      <w:r>
        <w:rPr>
          <w:bCs w:val="0"/>
        </w:rPr>
        <w:t>2</w:t>
      </w:r>
      <w:r>
        <w:rPr>
          <w:bCs w:val="0"/>
        </w:rPr>
        <w:fldChar w:fldCharType="end"/>
      </w:r>
      <w:r>
        <w:rPr>
          <w:bCs w:val="0"/>
        </w:rPr>
        <w:fldChar w:fldCharType="end"/>
      </w:r>
    </w:p>
    <w:p w14:paraId="7EA3FEC8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"_Toc150676737" </w:instrText>
      </w:r>
      <w:r>
        <w:fldChar w:fldCharType="separate"/>
      </w:r>
      <w:r>
        <w:rPr>
          <w:rStyle w:val="27"/>
          <w:rFonts w:hint="eastAsia"/>
          <w:bCs w:val="0"/>
        </w:rPr>
        <w:t>5</w:t>
      </w:r>
      <w:r>
        <w:rPr>
          <w:rStyle w:val="27"/>
          <w:bCs w:val="0"/>
        </w:rPr>
        <w:t>.</w:t>
      </w:r>
      <w:r>
        <w:rPr>
          <w:rStyle w:val="27"/>
          <w:rFonts w:hint="eastAsia"/>
          <w:bCs w:val="0"/>
        </w:rPr>
        <w:t>1</w:t>
      </w:r>
      <w:r>
        <w:rPr>
          <w:rStyle w:val="27"/>
          <w:bCs w:val="0"/>
        </w:rPr>
        <w:t xml:space="preserve"> 测量结果误差</w:t>
      </w:r>
      <w:r>
        <w:rPr>
          <w:bCs w:val="0"/>
        </w:rPr>
        <w:tab/>
      </w:r>
      <w:r>
        <w:rPr>
          <w:bCs w:val="0"/>
        </w:rPr>
        <w:fldChar w:fldCharType="end"/>
      </w:r>
      <w:r>
        <w:rPr>
          <w:rFonts w:hint="eastAsia"/>
        </w:rPr>
        <w:t>2</w:t>
      </w:r>
    </w:p>
    <w:p w14:paraId="18D8C364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"_Toc150676739" </w:instrText>
      </w:r>
      <w:r>
        <w:fldChar w:fldCharType="separate"/>
      </w:r>
      <w:r>
        <w:rPr>
          <w:rStyle w:val="27"/>
          <w:rFonts w:hint="eastAsia"/>
          <w:bCs w:val="0"/>
        </w:rPr>
        <w:t>5</w:t>
      </w:r>
      <w:r>
        <w:rPr>
          <w:rStyle w:val="27"/>
          <w:bCs w:val="0"/>
        </w:rPr>
        <w:t>.</w:t>
      </w:r>
      <w:r>
        <w:rPr>
          <w:rStyle w:val="27"/>
          <w:rFonts w:hint="eastAsia"/>
          <w:bCs w:val="0"/>
        </w:rPr>
        <w:t xml:space="preserve">2 </w:t>
      </w:r>
      <w:r>
        <w:rPr>
          <w:rStyle w:val="27"/>
          <w:bCs w:val="0"/>
        </w:rPr>
        <w:t>测量重复性</w:t>
      </w:r>
      <w:r>
        <w:rPr>
          <w:bCs w:val="0"/>
        </w:rPr>
        <w:tab/>
      </w:r>
      <w:r>
        <w:rPr>
          <w:bCs w:val="0"/>
        </w:rPr>
        <w:fldChar w:fldCharType="end"/>
      </w:r>
      <w:r>
        <w:rPr>
          <w:rFonts w:hint="eastAsia"/>
        </w:rPr>
        <w:t>2</w:t>
      </w:r>
    </w:p>
    <w:p w14:paraId="774BF0A8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"_Toc150676741" </w:instrText>
      </w:r>
      <w:r>
        <w:fldChar w:fldCharType="separate"/>
      </w:r>
      <w:r>
        <w:rPr>
          <w:rStyle w:val="27"/>
          <w:rFonts w:hint="eastAsia"/>
          <w:bCs w:val="0"/>
        </w:rPr>
        <w:t>5.3</w:t>
      </w:r>
      <w:r>
        <w:rPr>
          <w:rStyle w:val="27"/>
          <w:bCs w:val="0"/>
        </w:rPr>
        <w:t xml:space="preserve"> </w:t>
      </w:r>
      <w:r>
        <w:rPr>
          <w:rStyle w:val="27"/>
          <w:rFonts w:hint="eastAsia"/>
          <w:bCs w:val="0"/>
        </w:rPr>
        <w:t>辐射防护性能</w:t>
      </w:r>
      <w:r>
        <w:rPr>
          <w:bCs w:val="0"/>
        </w:rPr>
        <w:tab/>
      </w:r>
      <w:r>
        <w:rPr>
          <w:bCs w:val="0"/>
        </w:rPr>
        <w:fldChar w:fldCharType="end"/>
      </w:r>
      <w:r>
        <w:rPr>
          <w:rFonts w:hint="eastAsia"/>
        </w:rPr>
        <w:t>2</w:t>
      </w:r>
    </w:p>
    <w:p w14:paraId="746A3F0D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"_Toc150676743" </w:instrText>
      </w:r>
      <w:r>
        <w:fldChar w:fldCharType="separate"/>
      </w:r>
      <w:r>
        <w:rPr>
          <w:rStyle w:val="27"/>
          <w:rFonts w:hint="eastAsia" w:hAnsi="Times New Roman"/>
          <w:b w:val="0"/>
        </w:rPr>
        <w:t>6</w:t>
      </w:r>
      <w:r>
        <w:rPr>
          <w:rStyle w:val="27"/>
          <w:rFonts w:hAnsi="Times New Roman"/>
          <w:b w:val="0"/>
        </w:rPr>
        <w:t xml:space="preserve"> 校准条件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_Toc150676743 \h </w:instrText>
      </w:r>
      <w:r>
        <w:rPr>
          <w:b w:val="0"/>
        </w:rPr>
        <w:fldChar w:fldCharType="separate"/>
      </w:r>
      <w:r>
        <w:rPr>
          <w:b w:val="0"/>
        </w:rPr>
        <w:t>2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1D7737DA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"_Toc150676744" </w:instrText>
      </w:r>
      <w:r>
        <w:fldChar w:fldCharType="separate"/>
      </w:r>
      <w:r>
        <w:rPr>
          <w:rStyle w:val="27"/>
          <w:rFonts w:hint="eastAsia"/>
          <w:bCs w:val="0"/>
        </w:rPr>
        <w:t>6</w:t>
      </w:r>
      <w:r>
        <w:rPr>
          <w:rStyle w:val="27"/>
          <w:bCs w:val="0"/>
        </w:rPr>
        <w:t>.1 环境条件</w:t>
      </w:r>
      <w:r>
        <w:rPr>
          <w:bCs w:val="0"/>
        </w:rPr>
        <w:tab/>
      </w:r>
      <w:r>
        <w:rPr>
          <w:bCs w:val="0"/>
        </w:rPr>
        <w:fldChar w:fldCharType="begin"/>
      </w:r>
      <w:r>
        <w:rPr>
          <w:bCs w:val="0"/>
        </w:rPr>
        <w:instrText xml:space="preserve"> PAGEREF _Toc150676744 \h </w:instrText>
      </w:r>
      <w:r>
        <w:rPr>
          <w:bCs w:val="0"/>
        </w:rPr>
        <w:fldChar w:fldCharType="separate"/>
      </w:r>
      <w:r>
        <w:rPr>
          <w:bCs w:val="0"/>
        </w:rPr>
        <w:t>2</w:t>
      </w:r>
      <w:r>
        <w:rPr>
          <w:bCs w:val="0"/>
        </w:rPr>
        <w:fldChar w:fldCharType="end"/>
      </w:r>
      <w:r>
        <w:rPr>
          <w:bCs w:val="0"/>
        </w:rPr>
        <w:fldChar w:fldCharType="end"/>
      </w:r>
    </w:p>
    <w:p w14:paraId="03D11E0E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"_Toc150676745" </w:instrText>
      </w:r>
      <w:r>
        <w:fldChar w:fldCharType="separate"/>
      </w:r>
      <w:r>
        <w:rPr>
          <w:rStyle w:val="27"/>
          <w:rFonts w:hint="eastAsia"/>
          <w:bCs w:val="0"/>
        </w:rPr>
        <w:t>6</w:t>
      </w:r>
      <w:r>
        <w:rPr>
          <w:rStyle w:val="27"/>
          <w:bCs w:val="0"/>
        </w:rPr>
        <w:t xml:space="preserve">.2 </w:t>
      </w:r>
      <w:r>
        <w:rPr>
          <w:rStyle w:val="27"/>
          <w:rFonts w:hint="eastAsia"/>
          <w:bCs w:val="0"/>
        </w:rPr>
        <w:t>测量</w:t>
      </w:r>
      <w:r>
        <w:rPr>
          <w:rStyle w:val="27"/>
          <w:bCs w:val="0"/>
        </w:rPr>
        <w:t>标准及其他设备</w:t>
      </w:r>
      <w:r>
        <w:rPr>
          <w:bCs w:val="0"/>
        </w:rPr>
        <w:tab/>
      </w:r>
      <w:r>
        <w:rPr>
          <w:bCs w:val="0"/>
        </w:rPr>
        <w:fldChar w:fldCharType="begin"/>
      </w:r>
      <w:r>
        <w:rPr>
          <w:bCs w:val="0"/>
        </w:rPr>
        <w:instrText xml:space="preserve"> PAGEREF _Toc150676745 \h </w:instrText>
      </w:r>
      <w:r>
        <w:rPr>
          <w:bCs w:val="0"/>
        </w:rPr>
        <w:fldChar w:fldCharType="separate"/>
      </w:r>
      <w:r>
        <w:rPr>
          <w:bCs w:val="0"/>
        </w:rPr>
        <w:t>2</w:t>
      </w:r>
      <w:r>
        <w:rPr>
          <w:bCs w:val="0"/>
        </w:rPr>
        <w:fldChar w:fldCharType="end"/>
      </w:r>
      <w:r>
        <w:rPr>
          <w:bCs w:val="0"/>
        </w:rPr>
        <w:fldChar w:fldCharType="end"/>
      </w:r>
    </w:p>
    <w:p w14:paraId="75A18927">
      <w:pPr>
        <w:pStyle w:val="16"/>
        <w:spacing w:line="360" w:lineRule="auto"/>
      </w:pPr>
      <w:r>
        <w:fldChar w:fldCharType="begin"/>
      </w:r>
      <w:r>
        <w:instrText xml:space="preserve"> HYPERLINK \l "_Toc150676746" </w:instrText>
      </w:r>
      <w:r>
        <w:fldChar w:fldCharType="separate"/>
      </w:r>
      <w:r>
        <w:rPr>
          <w:rStyle w:val="27"/>
          <w:rFonts w:hint="eastAsia" w:hAnsi="Times New Roman"/>
          <w:b w:val="0"/>
        </w:rPr>
        <w:t>7</w:t>
      </w:r>
      <w:r>
        <w:rPr>
          <w:rStyle w:val="27"/>
          <w:rFonts w:hAnsi="Times New Roman"/>
          <w:b w:val="0"/>
        </w:rPr>
        <w:t xml:space="preserve"> 校准项目和校准方法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_Toc150676746 \h </w:instrText>
      </w:r>
      <w:r>
        <w:rPr>
          <w:b w:val="0"/>
        </w:rPr>
        <w:fldChar w:fldCharType="separate"/>
      </w:r>
      <w:r>
        <w:rPr>
          <w:b w:val="0"/>
        </w:rPr>
        <w:t>3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685A4508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"_Toc150676747" </w:instrText>
      </w:r>
      <w:r>
        <w:fldChar w:fldCharType="separate"/>
      </w:r>
      <w:r>
        <w:rPr>
          <w:rStyle w:val="27"/>
          <w:rFonts w:hint="eastAsia"/>
          <w:bCs w:val="0"/>
        </w:rPr>
        <w:t>7</w:t>
      </w:r>
      <w:r>
        <w:rPr>
          <w:rStyle w:val="27"/>
          <w:bCs w:val="0"/>
        </w:rPr>
        <w:t>.1</w:t>
      </w:r>
      <w:r>
        <w:rPr>
          <w:rStyle w:val="27"/>
          <w:rFonts w:hint="eastAsia"/>
          <w:bCs w:val="0"/>
        </w:rPr>
        <w:t>外</w:t>
      </w:r>
      <w:r>
        <w:rPr>
          <w:rStyle w:val="27"/>
          <w:bCs w:val="0"/>
        </w:rPr>
        <w:t>观及工作正常性检查</w:t>
      </w:r>
      <w:r>
        <w:rPr>
          <w:bCs w:val="0"/>
        </w:rPr>
        <w:tab/>
      </w:r>
      <w:r>
        <w:rPr>
          <w:bCs w:val="0"/>
        </w:rPr>
        <w:fldChar w:fldCharType="begin"/>
      </w:r>
      <w:r>
        <w:rPr>
          <w:bCs w:val="0"/>
        </w:rPr>
        <w:instrText xml:space="preserve"> PAGEREF _Toc150676747 \h </w:instrText>
      </w:r>
      <w:r>
        <w:rPr>
          <w:bCs w:val="0"/>
        </w:rPr>
        <w:fldChar w:fldCharType="separate"/>
      </w:r>
      <w:r>
        <w:rPr>
          <w:bCs w:val="0"/>
        </w:rPr>
        <w:t>3</w:t>
      </w:r>
      <w:r>
        <w:rPr>
          <w:bCs w:val="0"/>
        </w:rPr>
        <w:fldChar w:fldCharType="end"/>
      </w:r>
      <w:r>
        <w:rPr>
          <w:bCs w:val="0"/>
        </w:rPr>
        <w:fldChar w:fldCharType="end"/>
      </w:r>
    </w:p>
    <w:p w14:paraId="51BF1821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"_Toc150676748" </w:instrText>
      </w:r>
      <w:r>
        <w:fldChar w:fldCharType="separate"/>
      </w:r>
      <w:r>
        <w:rPr>
          <w:rStyle w:val="27"/>
          <w:rFonts w:hint="eastAsia"/>
          <w:bCs w:val="0"/>
        </w:rPr>
        <w:t>7</w:t>
      </w:r>
      <w:r>
        <w:rPr>
          <w:rStyle w:val="27"/>
          <w:bCs w:val="0"/>
        </w:rPr>
        <w:t>.2 测量结果误差</w:t>
      </w:r>
      <w:r>
        <w:rPr>
          <w:bCs w:val="0"/>
        </w:rPr>
        <w:tab/>
      </w:r>
      <w:r>
        <w:rPr>
          <w:bCs w:val="0"/>
        </w:rPr>
        <w:fldChar w:fldCharType="begin"/>
      </w:r>
      <w:r>
        <w:rPr>
          <w:bCs w:val="0"/>
        </w:rPr>
        <w:instrText xml:space="preserve"> PAGEREF _Toc150676748 \h </w:instrText>
      </w:r>
      <w:r>
        <w:rPr>
          <w:bCs w:val="0"/>
        </w:rPr>
        <w:fldChar w:fldCharType="separate"/>
      </w:r>
      <w:r>
        <w:rPr>
          <w:bCs w:val="0"/>
        </w:rPr>
        <w:t>3</w:t>
      </w:r>
      <w:r>
        <w:rPr>
          <w:bCs w:val="0"/>
        </w:rPr>
        <w:fldChar w:fldCharType="end"/>
      </w:r>
      <w:r>
        <w:rPr>
          <w:bCs w:val="0"/>
        </w:rPr>
        <w:fldChar w:fldCharType="end"/>
      </w:r>
    </w:p>
    <w:p w14:paraId="5D7DB175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"_Toc150676749" </w:instrText>
      </w:r>
      <w:r>
        <w:fldChar w:fldCharType="separate"/>
      </w:r>
      <w:r>
        <w:rPr>
          <w:rStyle w:val="27"/>
          <w:rFonts w:hint="eastAsia"/>
          <w:bCs w:val="0"/>
        </w:rPr>
        <w:t>7</w:t>
      </w:r>
      <w:r>
        <w:rPr>
          <w:rStyle w:val="27"/>
          <w:bCs w:val="0"/>
        </w:rPr>
        <w:t>.3 测量重复性</w:t>
      </w:r>
      <w:r>
        <w:rPr>
          <w:bCs w:val="0"/>
        </w:rPr>
        <w:tab/>
      </w:r>
      <w:r>
        <w:rPr>
          <w:bCs w:val="0"/>
        </w:rPr>
        <w:fldChar w:fldCharType="begin"/>
      </w:r>
      <w:r>
        <w:rPr>
          <w:bCs w:val="0"/>
        </w:rPr>
        <w:instrText xml:space="preserve"> PAGEREF _Toc150676749 \h </w:instrText>
      </w:r>
      <w:r>
        <w:rPr>
          <w:bCs w:val="0"/>
        </w:rPr>
        <w:fldChar w:fldCharType="separate"/>
      </w:r>
      <w:r>
        <w:rPr>
          <w:bCs w:val="0"/>
        </w:rPr>
        <w:t>3</w:t>
      </w:r>
      <w:r>
        <w:rPr>
          <w:bCs w:val="0"/>
        </w:rPr>
        <w:fldChar w:fldCharType="end"/>
      </w:r>
      <w:r>
        <w:rPr>
          <w:bCs w:val="0"/>
        </w:rPr>
        <w:fldChar w:fldCharType="end"/>
      </w:r>
    </w:p>
    <w:p w14:paraId="20AB35C2">
      <w:pPr>
        <w:pStyle w:val="19"/>
        <w:spacing w:line="360" w:lineRule="auto"/>
        <w:rPr>
          <w:rFonts w:ascii="等线" w:hAnsi="等线" w:eastAsia="等线"/>
          <w:bCs w:val="0"/>
          <w:sz w:val="21"/>
          <w:szCs w:val="22"/>
        </w:rPr>
      </w:pPr>
      <w:r>
        <w:fldChar w:fldCharType="begin"/>
      </w:r>
      <w:r>
        <w:instrText xml:space="preserve"> HYPERLINK \l "_Toc150676750" </w:instrText>
      </w:r>
      <w:r>
        <w:fldChar w:fldCharType="separate"/>
      </w:r>
      <w:r>
        <w:rPr>
          <w:rStyle w:val="27"/>
          <w:rFonts w:hint="eastAsia"/>
          <w:bCs w:val="0"/>
        </w:rPr>
        <w:t>7</w:t>
      </w:r>
      <w:r>
        <w:rPr>
          <w:rStyle w:val="27"/>
          <w:bCs w:val="0"/>
        </w:rPr>
        <w:t>.4 辐射防护性能</w:t>
      </w:r>
      <w:r>
        <w:rPr>
          <w:bCs w:val="0"/>
        </w:rPr>
        <w:tab/>
      </w:r>
      <w:r>
        <w:rPr>
          <w:bCs w:val="0"/>
        </w:rPr>
        <w:fldChar w:fldCharType="begin"/>
      </w:r>
      <w:r>
        <w:rPr>
          <w:bCs w:val="0"/>
        </w:rPr>
        <w:instrText xml:space="preserve"> PAGEREF _Toc150676750 \h </w:instrText>
      </w:r>
      <w:r>
        <w:rPr>
          <w:bCs w:val="0"/>
        </w:rPr>
        <w:fldChar w:fldCharType="separate"/>
      </w:r>
      <w:r>
        <w:rPr>
          <w:bCs w:val="0"/>
        </w:rPr>
        <w:t>3</w:t>
      </w:r>
      <w:r>
        <w:rPr>
          <w:bCs w:val="0"/>
        </w:rPr>
        <w:fldChar w:fldCharType="end"/>
      </w:r>
      <w:r>
        <w:rPr>
          <w:bCs w:val="0"/>
        </w:rPr>
        <w:fldChar w:fldCharType="end"/>
      </w:r>
    </w:p>
    <w:p w14:paraId="779C40CB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"_Toc150676752" </w:instrText>
      </w:r>
      <w:r>
        <w:fldChar w:fldCharType="separate"/>
      </w:r>
      <w:r>
        <w:rPr>
          <w:rStyle w:val="27"/>
          <w:rFonts w:hint="eastAsia" w:hAnsi="Times New Roman"/>
          <w:b w:val="0"/>
        </w:rPr>
        <w:t>8</w:t>
      </w:r>
      <w:r>
        <w:rPr>
          <w:rStyle w:val="27"/>
          <w:rFonts w:hAnsi="Times New Roman"/>
          <w:b w:val="0"/>
        </w:rPr>
        <w:t xml:space="preserve"> </w:t>
      </w:r>
      <w:r>
        <w:rPr>
          <w:rStyle w:val="27"/>
          <w:b w:val="0"/>
        </w:rPr>
        <w:t>校准结果表达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_Toc150676752 \h </w:instrText>
      </w:r>
      <w:r>
        <w:rPr>
          <w:b w:val="0"/>
        </w:rPr>
        <w:fldChar w:fldCharType="separate"/>
      </w:r>
      <w:r>
        <w:rPr>
          <w:b w:val="0"/>
        </w:rPr>
        <w:t>4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73FE1F1A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"_Toc150676753" </w:instrText>
      </w:r>
      <w:r>
        <w:fldChar w:fldCharType="separate"/>
      </w:r>
      <w:r>
        <w:rPr>
          <w:rStyle w:val="27"/>
          <w:rFonts w:hint="eastAsia" w:hAnsi="Times New Roman"/>
          <w:b w:val="0"/>
        </w:rPr>
        <w:t>9</w:t>
      </w:r>
      <w:r>
        <w:rPr>
          <w:rStyle w:val="27"/>
          <w:rFonts w:hAnsi="Times New Roman"/>
          <w:b w:val="0"/>
        </w:rPr>
        <w:t xml:space="preserve"> </w:t>
      </w:r>
      <w:r>
        <w:rPr>
          <w:rStyle w:val="27"/>
          <w:b w:val="0"/>
        </w:rPr>
        <w:t>复校时间间隔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_Toc150676753 \h </w:instrText>
      </w:r>
      <w:r>
        <w:rPr>
          <w:b w:val="0"/>
        </w:rPr>
        <w:fldChar w:fldCharType="separate"/>
      </w:r>
      <w:r>
        <w:rPr>
          <w:b w:val="0"/>
        </w:rPr>
        <w:t>4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32FBE4A8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"_Toc150676754" </w:instrText>
      </w:r>
      <w:r>
        <w:fldChar w:fldCharType="separate"/>
      </w:r>
      <w:r>
        <w:rPr>
          <w:rStyle w:val="27"/>
          <w:rFonts w:hAnsi="Times New Roman"/>
          <w:b w:val="0"/>
        </w:rPr>
        <w:t>附录A 校准记录格式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_Toc150676754 \h </w:instrText>
      </w:r>
      <w:r>
        <w:rPr>
          <w:b w:val="0"/>
        </w:rPr>
        <w:fldChar w:fldCharType="separate"/>
      </w:r>
      <w:r>
        <w:rPr>
          <w:b w:val="0"/>
        </w:rPr>
        <w:t>5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4662C1BA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"_Toc150676755" </w:instrText>
      </w:r>
      <w:r>
        <w:fldChar w:fldCharType="separate"/>
      </w:r>
      <w:r>
        <w:rPr>
          <w:rStyle w:val="27"/>
          <w:rFonts w:hAnsi="Times New Roman"/>
          <w:b w:val="0"/>
        </w:rPr>
        <w:t>附录B 校准证书（内页）格式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_Toc150676755 \h </w:instrText>
      </w:r>
      <w:r>
        <w:rPr>
          <w:b w:val="0"/>
        </w:rPr>
        <w:fldChar w:fldCharType="separate"/>
      </w:r>
      <w:r>
        <w:rPr>
          <w:b w:val="0"/>
        </w:rPr>
        <w:t>6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2432958B">
      <w:pPr>
        <w:pStyle w:val="16"/>
        <w:spacing w:line="360" w:lineRule="auto"/>
        <w:rPr>
          <w:rFonts w:ascii="等线" w:hAnsi="等线" w:eastAsia="等线"/>
          <w:b w:val="0"/>
          <w:color w:val="auto"/>
          <w:sz w:val="21"/>
          <w:szCs w:val="22"/>
        </w:rPr>
      </w:pPr>
      <w:r>
        <w:fldChar w:fldCharType="begin"/>
      </w:r>
      <w:r>
        <w:instrText xml:space="preserve"> HYPERLINK \l "_Toc150676756" </w:instrText>
      </w:r>
      <w:r>
        <w:fldChar w:fldCharType="separate"/>
      </w:r>
      <w:r>
        <w:rPr>
          <w:rStyle w:val="27"/>
          <w:rFonts w:hAnsi="Times New Roman"/>
          <w:b w:val="0"/>
        </w:rPr>
        <w:t>附录C</w:t>
      </w:r>
      <w:r>
        <w:rPr>
          <w:rStyle w:val="27"/>
          <w:rFonts w:hint="eastAsia" w:hAnsi="Times New Roman"/>
          <w:b w:val="0"/>
        </w:rPr>
        <w:t xml:space="preserve"> </w:t>
      </w:r>
      <w:r>
        <w:rPr>
          <w:rStyle w:val="27"/>
          <w:rFonts w:hAnsi="Times New Roman"/>
          <w:b w:val="0"/>
        </w:rPr>
        <w:t>分析仪示值误差的测量不确定度评定示例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_Toc150676756 \h </w:instrText>
      </w:r>
      <w:r>
        <w:rPr>
          <w:b w:val="0"/>
        </w:rPr>
        <w:fldChar w:fldCharType="separate"/>
      </w:r>
      <w:r>
        <w:rPr>
          <w:b w:val="0"/>
        </w:rPr>
        <w:t>7</w:t>
      </w:r>
      <w:r>
        <w:rPr>
          <w:b w:val="0"/>
        </w:rPr>
        <w:fldChar w:fldCharType="end"/>
      </w:r>
      <w:r>
        <w:rPr>
          <w:b w:val="0"/>
        </w:rPr>
        <w:fldChar w:fldCharType="end"/>
      </w:r>
    </w:p>
    <w:p w14:paraId="0DDCACA1">
      <w:pPr>
        <w:snapToGrid w:val="0"/>
        <w:spacing w:line="360" w:lineRule="auto"/>
        <w:jc w:val="center"/>
        <w:rPr>
          <w:rFonts w:eastAsia="黑体"/>
          <w:b/>
          <w:color w:val="000000"/>
          <w:sz w:val="32"/>
        </w:rPr>
        <w:sectPr>
          <w:footerReference r:id="rId9" w:type="default"/>
          <w:pgSz w:w="11906" w:h="16838"/>
          <w:pgMar w:top="1440" w:right="1797" w:bottom="1440" w:left="1797" w:header="851" w:footer="992" w:gutter="0"/>
          <w:pgNumType w:fmt="upperRoman" w:start="1"/>
          <w:cols w:space="720" w:num="1"/>
          <w:docGrid w:type="linesAndChars" w:linePitch="312" w:charSpace="0"/>
        </w:sectPr>
      </w:pPr>
      <w:r>
        <w:fldChar w:fldCharType="end"/>
      </w:r>
    </w:p>
    <w:p w14:paraId="5EED75C6">
      <w:pPr>
        <w:pStyle w:val="2"/>
        <w:spacing w:line="360" w:lineRule="auto"/>
        <w:jc w:val="center"/>
        <w:rPr>
          <w:rFonts w:ascii="宋体" w:eastAsia="宋体"/>
          <w:sz w:val="44"/>
          <w:szCs w:val="44"/>
        </w:rPr>
      </w:pPr>
      <w:bookmarkStart w:id="0" w:name="_Toc150676729"/>
      <w:r>
        <w:rPr>
          <w:rFonts w:hint="eastAsia" w:ascii="宋体" w:eastAsia="宋体"/>
          <w:sz w:val="44"/>
          <w:szCs w:val="44"/>
        </w:rPr>
        <w:t>引  言</w:t>
      </w:r>
      <w:bookmarkEnd w:id="0"/>
    </w:p>
    <w:p w14:paraId="3C8973A1">
      <w:pPr>
        <w:pStyle w:val="36"/>
        <w:tabs>
          <w:tab w:val="left" w:pos="180"/>
        </w:tabs>
        <w:spacing w:line="360" w:lineRule="auto"/>
        <w:ind w:left="0" w:firstLine="480" w:firstLineChars="20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JJF 1001-201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《通用计量名词术语与定义》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  <w:lang w:eastAsia="zh-CN"/>
        </w:rPr>
        <w:t>JJF 1071-2010《国家计量校准规范编写规则》、JJF 1059.1-2012《测量不确定度评定与表示》共同构成制定本校准规范的基础性系统规范。</w:t>
      </w:r>
    </w:p>
    <w:p w14:paraId="59E75043">
      <w:pPr>
        <w:snapToGrid w:val="0"/>
        <w:spacing w:line="360" w:lineRule="auto"/>
        <w:ind w:firstLine="480" w:firstLineChars="200"/>
        <w:rPr>
          <w:bCs/>
          <w:color w:val="000000"/>
        </w:rPr>
      </w:pPr>
      <w:r>
        <w:rPr>
          <w:rFonts w:hint="eastAsia"/>
          <w:color w:val="000000"/>
        </w:rPr>
        <w:t>本规范的制定参考JJG1050-2009</w:t>
      </w:r>
      <w:r>
        <w:rPr>
          <w:bCs/>
          <w:color w:val="000000"/>
        </w:rPr>
        <w:t>《</w:t>
      </w:r>
      <w:r>
        <w:rPr>
          <w:rFonts w:hint="eastAsia" w:ascii="宋体" w:hAnsi="宋体"/>
        </w:rPr>
        <w:t>X、γ射线骨密度仪检定规程</w:t>
      </w:r>
      <w:r>
        <w:rPr>
          <w:bCs/>
          <w:color w:val="000000"/>
        </w:rPr>
        <w:t>》等</w:t>
      </w:r>
      <w:r>
        <w:rPr>
          <w:rFonts w:hint="eastAsia"/>
          <w:bCs/>
          <w:color w:val="000000"/>
        </w:rPr>
        <w:t>技术规范</w:t>
      </w:r>
      <w:r>
        <w:rPr>
          <w:bCs/>
          <w:color w:val="000000"/>
        </w:rPr>
        <w:t>。</w:t>
      </w:r>
    </w:p>
    <w:p w14:paraId="5413A35D">
      <w:pPr>
        <w:snapToGrid w:val="0"/>
        <w:spacing w:line="360" w:lineRule="auto"/>
        <w:ind w:firstLine="480" w:firstLineChars="200"/>
        <w:rPr>
          <w:spacing w:val="20"/>
        </w:rPr>
      </w:pPr>
      <w:r>
        <w:rPr>
          <w:bCs/>
          <w:color w:val="000000"/>
        </w:rPr>
        <w:t>本规范为首次发布。</w:t>
      </w:r>
    </w:p>
    <w:p w14:paraId="4796F5EF">
      <w:pPr>
        <w:snapToGrid w:val="0"/>
        <w:jc w:val="center"/>
        <w:rPr>
          <w:rFonts w:ascii="宋体" w:hAnsi="宋体"/>
          <w:bCs/>
          <w:color w:val="000000"/>
        </w:rPr>
      </w:pPr>
    </w:p>
    <w:p w14:paraId="17329291">
      <w:pPr>
        <w:snapToGrid w:val="0"/>
        <w:jc w:val="center"/>
        <w:rPr>
          <w:rFonts w:ascii="宋体" w:hAnsi="宋体"/>
          <w:bCs/>
          <w:color w:val="000000"/>
        </w:rPr>
        <w:sectPr>
          <w:headerReference r:id="rId10" w:type="default"/>
          <w:pgSz w:w="11906" w:h="16838"/>
          <w:pgMar w:top="1440" w:right="1797" w:bottom="1440" w:left="1797" w:header="851" w:footer="992" w:gutter="0"/>
          <w:pgNumType w:fmt="upperRoman"/>
          <w:cols w:space="720" w:num="1"/>
          <w:docGrid w:type="linesAndChars" w:linePitch="312" w:charSpace="0"/>
        </w:sectPr>
      </w:pPr>
    </w:p>
    <w:p w14:paraId="71C1B8F1">
      <w:pPr>
        <w:snapToGrid w:val="0"/>
        <w:jc w:val="center"/>
        <w:rPr>
          <w:rFonts w:eastAsia="黑体"/>
          <w:color w:val="000000"/>
          <w:sz w:val="32"/>
          <w:szCs w:val="32"/>
        </w:rPr>
      </w:pPr>
    </w:p>
    <w:p w14:paraId="2AFCC6CC">
      <w:pPr>
        <w:jc w:val="center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周围型双能X射线骨密度</w:t>
      </w:r>
      <w:r>
        <w:rPr>
          <w:rFonts w:eastAsia="黑体"/>
          <w:color w:val="000000"/>
          <w:sz w:val="32"/>
          <w:szCs w:val="32"/>
        </w:rPr>
        <w:t>仪校准规范</w:t>
      </w:r>
    </w:p>
    <w:p w14:paraId="75F1476E">
      <w:pPr>
        <w:pStyle w:val="2"/>
        <w:spacing w:beforeLines="50" w:line="360" w:lineRule="auto"/>
        <w:rPr>
          <w:rFonts w:ascii="Times New Roman" w:hAnsi="Times New Roman"/>
        </w:rPr>
      </w:pPr>
      <w:bookmarkStart w:id="1" w:name="_Toc147602972"/>
      <w:bookmarkStart w:id="2" w:name="_Toc150676730"/>
      <w:r>
        <w:rPr>
          <w:rFonts w:ascii="Times New Roman" w:hAnsi="Times New Roman"/>
        </w:rPr>
        <w:t>1 范围</w:t>
      </w:r>
      <w:bookmarkEnd w:id="1"/>
      <w:bookmarkEnd w:id="2"/>
    </w:p>
    <w:p w14:paraId="1E01711D">
      <w:pPr>
        <w:snapToGrid w:val="0"/>
        <w:spacing w:line="360" w:lineRule="auto"/>
        <w:ind w:firstLine="540" w:firstLineChars="225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本规范适用于</w:t>
      </w:r>
      <w:r>
        <w:rPr>
          <w:rFonts w:hint="eastAsia" w:ascii="宋体" w:hAnsi="宋体"/>
          <w:color w:val="000000"/>
        </w:rPr>
        <w:t>周围型双能X射线骨密度</w:t>
      </w:r>
      <w:r>
        <w:rPr>
          <w:rFonts w:ascii="宋体" w:hAnsi="宋体"/>
          <w:color w:val="000000"/>
        </w:rPr>
        <w:t>仪（以下简称</w:t>
      </w:r>
      <w:r>
        <w:rPr>
          <w:rFonts w:hint="eastAsia" w:ascii="宋体" w:hAnsi="宋体"/>
          <w:color w:val="000000"/>
        </w:rPr>
        <w:t>分析仪</w:t>
      </w:r>
      <w:r>
        <w:rPr>
          <w:rFonts w:ascii="宋体" w:hAnsi="宋体"/>
          <w:color w:val="000000"/>
        </w:rPr>
        <w:t>）的校准</w:t>
      </w:r>
      <w:r>
        <w:rPr>
          <w:rFonts w:hint="eastAsia" w:ascii="宋体" w:hAnsi="宋体"/>
          <w:color w:val="000000"/>
        </w:rPr>
        <w:t>。</w:t>
      </w:r>
    </w:p>
    <w:p w14:paraId="3CF2BCCA">
      <w:pPr>
        <w:pStyle w:val="2"/>
        <w:spacing w:beforeLines="50" w:line="360" w:lineRule="auto"/>
        <w:rPr>
          <w:rFonts w:ascii="Times New Roman" w:hAnsi="Times New Roman"/>
        </w:rPr>
      </w:pPr>
      <w:bookmarkStart w:id="3" w:name="_Toc150676731"/>
      <w:bookmarkStart w:id="4" w:name="_Toc147602973"/>
      <w:r>
        <w:rPr>
          <w:rFonts w:ascii="Times New Roman" w:hAnsi="Times New Roman"/>
        </w:rPr>
        <w:t>2 引用文件</w:t>
      </w:r>
      <w:bookmarkEnd w:id="3"/>
      <w:bookmarkEnd w:id="4"/>
    </w:p>
    <w:p w14:paraId="07CD0772">
      <w:pPr>
        <w:snapToGrid w:val="0"/>
        <w:spacing w:line="360" w:lineRule="auto"/>
        <w:ind w:firstLine="540" w:firstLineChars="225"/>
        <w:rPr>
          <w:bCs/>
          <w:color w:val="000000"/>
        </w:rPr>
      </w:pPr>
      <w:r>
        <w:rPr>
          <w:rFonts w:hint="eastAsia"/>
          <w:color w:val="000000"/>
        </w:rPr>
        <w:t>JJG1050-2009</w:t>
      </w:r>
      <w:r>
        <w:rPr>
          <w:bCs/>
          <w:color w:val="000000"/>
        </w:rPr>
        <w:t>《</w:t>
      </w:r>
      <w:r>
        <w:rPr>
          <w:rFonts w:hint="eastAsia" w:ascii="宋体" w:hAnsi="宋体"/>
        </w:rPr>
        <w:t>X、γ射线骨密度仪检定规程</w:t>
      </w:r>
      <w:r>
        <w:rPr>
          <w:bCs/>
          <w:color w:val="000000"/>
        </w:rPr>
        <w:t>》</w:t>
      </w:r>
    </w:p>
    <w:p w14:paraId="76AF4C38">
      <w:pPr>
        <w:snapToGrid w:val="0"/>
        <w:spacing w:line="360" w:lineRule="auto"/>
        <w:ind w:firstLine="540" w:firstLineChars="225"/>
        <w:rPr>
          <w:rFonts w:ascii="宋体" w:hAnsi="宋体"/>
          <w:color w:val="000000"/>
        </w:rPr>
      </w:pPr>
      <w:r>
        <w:rPr>
          <w:rFonts w:hint="eastAsia"/>
          <w:bCs/>
          <w:color w:val="000000"/>
        </w:rPr>
        <w:t>GB9706.12-1997《医用电气设备 第一部分：安全通用要求 三、并列标准诊断X射线设备辐射防护通用要求》</w:t>
      </w:r>
    </w:p>
    <w:p w14:paraId="6A311A7D">
      <w:pPr>
        <w:snapToGrid w:val="0"/>
        <w:spacing w:line="360" w:lineRule="auto"/>
        <w:ind w:firstLine="540" w:firstLineChars="225"/>
        <w:rPr>
          <w:rFonts w:ascii="宋体" w:hAnsi="宋体"/>
          <w:color w:val="000000"/>
        </w:rPr>
      </w:pPr>
      <w:r>
        <w:rPr>
          <w:color w:val="000000"/>
        </w:rPr>
        <w:t>JJF</w:t>
      </w:r>
      <w:r>
        <w:rPr>
          <w:rFonts w:hint="eastAsia"/>
          <w:color w:val="000000"/>
        </w:rPr>
        <w:t>1035-2006《</w:t>
      </w:r>
      <w:r>
        <w:rPr>
          <w:rFonts w:hint="eastAsia" w:ascii="宋体" w:hAnsi="宋体"/>
        </w:rPr>
        <w:t>电离辐射计量术语及定义</w:t>
      </w:r>
      <w:r>
        <w:rPr>
          <w:rFonts w:hint="eastAsia" w:ascii="宋体" w:hAnsi="宋体"/>
          <w:color w:val="000000"/>
        </w:rPr>
        <w:t>》。</w:t>
      </w:r>
    </w:p>
    <w:p w14:paraId="0FC4822F">
      <w:pPr>
        <w:snapToGrid w:val="0"/>
        <w:spacing w:line="360" w:lineRule="auto"/>
        <w:ind w:firstLine="540" w:firstLineChars="225"/>
        <w:rPr>
          <w:color w:val="000000"/>
        </w:rPr>
      </w:pPr>
      <w:r>
        <w:rPr>
          <w:color w:val="000000"/>
        </w:rPr>
        <w:t>凡是注日期的引用文件，仅注日期的版本适用于本规范；凡是不注日期的引用文件，其最新版本（包括所有的修改单）适用于本规范。</w:t>
      </w:r>
    </w:p>
    <w:p w14:paraId="39D80B2D">
      <w:pPr>
        <w:pStyle w:val="2"/>
        <w:spacing w:beforeLines="50" w:line="360" w:lineRule="auto"/>
        <w:rPr>
          <w:rFonts w:ascii="Times New Roman" w:hAnsi="Times New Roman"/>
        </w:rPr>
      </w:pPr>
      <w:bookmarkStart w:id="5" w:name="_Toc150676732"/>
      <w:bookmarkStart w:id="6" w:name="_Toc147602974"/>
      <w:r>
        <w:rPr>
          <w:rFonts w:ascii="Times New Roman" w:hAnsi="Times New Roman"/>
        </w:rPr>
        <w:t xml:space="preserve">3 </w:t>
      </w:r>
      <w:bookmarkEnd w:id="5"/>
      <w:bookmarkEnd w:id="6"/>
      <w:r>
        <w:rPr>
          <w:rFonts w:ascii="Times New Roman" w:hAnsi="Times New Roman"/>
        </w:rPr>
        <w:t>术语和计量单位</w:t>
      </w:r>
    </w:p>
    <w:p w14:paraId="4D22A23B">
      <w:pPr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/>
          <w:color w:val="000000"/>
        </w:rPr>
        <w:t>JJG1050-2009、</w:t>
      </w:r>
      <w:r>
        <w:rPr>
          <w:rFonts w:hint="eastAsia"/>
          <w:bCs/>
          <w:color w:val="000000"/>
        </w:rPr>
        <w:t>GB9706.12-1997、</w:t>
      </w:r>
      <w:r>
        <w:rPr>
          <w:color w:val="000000"/>
        </w:rPr>
        <w:t>JJF</w:t>
      </w:r>
      <w:r>
        <w:rPr>
          <w:rFonts w:hint="eastAsia"/>
          <w:color w:val="000000"/>
        </w:rPr>
        <w:t>1035-2006界定的及以下术语和定义适用于本规范。</w:t>
      </w:r>
    </w:p>
    <w:p w14:paraId="6ADCA7BD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3.1术语</w:t>
      </w:r>
    </w:p>
    <w:p w14:paraId="5088C70B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3.1.1周围型双能X射线骨密度</w:t>
      </w:r>
      <w:r>
        <w:rPr>
          <w:rFonts w:ascii="宋体" w:hAnsi="宋体"/>
        </w:rPr>
        <w:t>仪（</w:t>
      </w:r>
      <w:r>
        <w:rPr>
          <w:rFonts w:hint="eastAsia" w:ascii="宋体" w:hAnsi="宋体"/>
        </w:rPr>
        <w:t>pDEXA</w:t>
      </w:r>
      <w:r>
        <w:rPr>
          <w:rFonts w:ascii="宋体" w:hAnsi="宋体"/>
        </w:rPr>
        <w:t>）</w:t>
      </w:r>
    </w:p>
    <w:p w14:paraId="1FF26BA4">
      <w:pPr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利用两种能量X射线吸收法原理，用于测定</w:t>
      </w:r>
      <w:r>
        <w:rPr>
          <w:rFonts w:hint="eastAsia"/>
          <w:color w:val="000000"/>
        </w:rPr>
        <w:t>尺骨和桡骨</w:t>
      </w:r>
      <w:r>
        <w:rPr>
          <w:rFonts w:hint="eastAsia" w:ascii="宋体" w:hAnsi="宋体"/>
        </w:rPr>
        <w:t>为主骨矿物密度的测量仪器，简称pDEXA骨密度仪</w:t>
      </w:r>
    </w:p>
    <w:p w14:paraId="5D3E7E4F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3.1.2感兴趣区</w:t>
      </w:r>
    </w:p>
    <w:p w14:paraId="202B086E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 骨的被测量部位在射束方向投影的面积，简称ROI</w:t>
      </w:r>
    </w:p>
    <w:p w14:paraId="06FC0CF7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3.1.3骨矿含量</w:t>
      </w:r>
    </w:p>
    <w:p w14:paraId="6F16BA9E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 单位长度骨内或感兴趣区内的骨矿物质量，简称BMC</w:t>
      </w:r>
    </w:p>
    <w:p w14:paraId="1864F2B1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3.1.4骨密度</w:t>
      </w:r>
    </w:p>
    <w:p w14:paraId="32F4DA36">
      <w:pPr>
        <w:snapToGrid w:val="0"/>
        <w:spacing w:line="360" w:lineRule="auto"/>
        <w:ind w:firstLine="465"/>
        <w:rPr>
          <w:rFonts w:ascii="宋体" w:hAnsi="宋体"/>
        </w:rPr>
      </w:pPr>
      <w:r>
        <w:rPr>
          <w:rFonts w:hint="eastAsia" w:ascii="宋体" w:hAnsi="宋体"/>
        </w:rPr>
        <w:t>感兴趣区（ROI）内平均单位面积的平均骨矿物质质量，简称BMD</w:t>
      </w:r>
    </w:p>
    <w:p w14:paraId="09B3555F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3.2计量单位</w:t>
      </w:r>
    </w:p>
    <w:p w14:paraId="1E115B1B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3.2.1骨矿含量</w:t>
      </w:r>
    </w:p>
    <w:p w14:paraId="73DA9F7E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 xml:space="preserve">    符号：BMC（g/cm），单位名称：克每厘米，单位符号：g/cm。</w:t>
      </w:r>
    </w:p>
    <w:p w14:paraId="61EE1F03">
      <w:pPr>
        <w:snapToGrid w:val="0"/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3.2.2骨密度</w:t>
      </w:r>
    </w:p>
    <w:p w14:paraId="66D7A9E8">
      <w:pPr>
        <w:snapToGrid w:val="0"/>
        <w:spacing w:line="360" w:lineRule="auto"/>
        <w:ind w:firstLine="465"/>
        <w:rPr>
          <w:rFonts w:ascii="宋体" w:hAnsi="宋体"/>
        </w:rPr>
      </w:pPr>
      <w:r>
        <w:rPr>
          <w:rFonts w:hint="eastAsia" w:ascii="宋体" w:hAnsi="宋体"/>
        </w:rPr>
        <w:t>符号：BMD（g/cm</w:t>
      </w:r>
      <w:r>
        <w:rPr>
          <w:rFonts w:hint="eastAsia" w:ascii="宋体" w:hAnsi="宋体"/>
          <w:vertAlign w:val="superscript"/>
        </w:rPr>
        <w:t>2</w:t>
      </w:r>
      <w:r>
        <w:rPr>
          <w:rFonts w:hint="eastAsia" w:ascii="宋体" w:hAnsi="宋体"/>
        </w:rPr>
        <w:t>），单位名称：克每平方厘米，单位符号：g/cm</w:t>
      </w:r>
      <w:r>
        <w:rPr>
          <w:rFonts w:hint="eastAsia" w:ascii="宋体" w:hAnsi="宋体"/>
          <w:vertAlign w:val="superscript"/>
        </w:rPr>
        <w:t>2</w:t>
      </w:r>
      <w:r>
        <w:rPr>
          <w:rFonts w:hint="eastAsia" w:ascii="宋体" w:hAnsi="宋体"/>
        </w:rPr>
        <w:t>。</w:t>
      </w:r>
    </w:p>
    <w:p w14:paraId="1BDAC11C">
      <w:pPr>
        <w:pStyle w:val="2"/>
        <w:spacing w:beforeLines="50"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4</w:t>
      </w:r>
      <w:r>
        <w:rPr>
          <w:rFonts w:ascii="Times New Roman" w:hAnsi="Times New Roman"/>
        </w:rPr>
        <w:t xml:space="preserve"> 概述</w:t>
      </w:r>
    </w:p>
    <w:p w14:paraId="12897C58">
      <w:pPr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周围型双能X射线骨密度</w:t>
      </w:r>
      <w:r>
        <w:rPr>
          <w:rFonts w:ascii="宋体" w:hAnsi="宋体"/>
        </w:rPr>
        <w:t>仪</w:t>
      </w:r>
      <w:r>
        <w:rPr>
          <w:rFonts w:ascii="宋体" w:hAnsi="宋体"/>
          <w:color w:val="000000"/>
        </w:rPr>
        <w:t>（以下简称</w:t>
      </w:r>
      <w:r>
        <w:rPr>
          <w:rFonts w:hint="eastAsia" w:ascii="宋体" w:hAnsi="宋体"/>
          <w:color w:val="000000"/>
        </w:rPr>
        <w:t>分析仪</w:t>
      </w:r>
      <w:r>
        <w:rPr>
          <w:rFonts w:ascii="宋体" w:hAnsi="宋体"/>
          <w:color w:val="000000"/>
        </w:rPr>
        <w:t>）</w:t>
      </w:r>
      <w:r>
        <w:rPr>
          <w:rFonts w:ascii="宋体" w:hAnsi="宋体"/>
        </w:rPr>
        <w:t>由微剂量X射线管、低千伏直流电压发生器、探测器、双道脉冲幅度分析器、测量通道、数据处理和控制系统组成，</w:t>
      </w:r>
      <w:r>
        <w:rPr>
          <w:rFonts w:hint="eastAsia" w:ascii="宋体" w:hAnsi="宋体"/>
        </w:rPr>
        <w:t>主要检测以</w:t>
      </w:r>
      <w:r>
        <w:rPr>
          <w:rFonts w:hint="eastAsia"/>
          <w:color w:val="000000"/>
        </w:rPr>
        <w:t>尺骨和桡骨</w:t>
      </w:r>
      <w:r>
        <w:rPr>
          <w:rFonts w:hint="eastAsia" w:ascii="宋体" w:hAnsi="宋体"/>
        </w:rPr>
        <w:t>为主的骨密度。</w:t>
      </w:r>
      <w:r>
        <w:rPr>
          <w:rFonts w:ascii="宋体" w:hAnsi="宋体"/>
        </w:rPr>
        <w:t>其采用了高低两种不同能量的X射线，在测量时，仪器同时获得透过人体骨矿和软组织的这两种能量X射线的吸收减弱信号，建立</w:t>
      </w:r>
      <w:r>
        <w:rPr>
          <w:rFonts w:hint="eastAsia" w:ascii="宋体" w:hAnsi="宋体"/>
        </w:rPr>
        <w:t>这两种能量X射线的联立吸收方程，解出人体骨矿含量</w:t>
      </w:r>
      <w:r>
        <w:rPr>
          <w:rFonts w:hint="eastAsia"/>
          <w:color w:val="000000"/>
        </w:rPr>
        <w:t>。</w:t>
      </w:r>
    </w:p>
    <w:p w14:paraId="3841738D">
      <w:pPr>
        <w:pStyle w:val="2"/>
        <w:spacing w:beforeLines="50" w:line="360" w:lineRule="auto"/>
        <w:rPr>
          <w:rFonts w:ascii="Times New Roman" w:hAnsi="Times New Roman"/>
        </w:rPr>
      </w:pPr>
      <w:bookmarkStart w:id="7" w:name="_Toc150676734"/>
      <w:bookmarkStart w:id="8" w:name="_Toc147602975"/>
      <w:r>
        <w:rPr>
          <w:rFonts w:hint="eastAsia" w:ascii="Times New Roman" w:hAnsi="Times New Roman"/>
        </w:rPr>
        <w:t>5</w:t>
      </w:r>
      <w:r>
        <w:rPr>
          <w:rFonts w:ascii="Times New Roman" w:hAnsi="Times New Roman"/>
        </w:rPr>
        <w:t xml:space="preserve"> 计量特性</w:t>
      </w:r>
      <w:bookmarkEnd w:id="7"/>
      <w:bookmarkEnd w:id="8"/>
      <w:r>
        <w:rPr>
          <w:rFonts w:ascii="Times New Roman" w:hAnsi="Times New Roman"/>
        </w:rPr>
        <w:t xml:space="preserve"> </w:t>
      </w:r>
      <w:bookmarkStart w:id="9" w:name="_Toc150676735"/>
    </w:p>
    <w:p w14:paraId="77BBD373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5.1测量结果误差</w:t>
      </w:r>
    </w:p>
    <w:p w14:paraId="088EAB6D">
      <w:pPr>
        <w:snapToGrid w:val="0"/>
        <w:spacing w:line="360" w:lineRule="auto"/>
        <w:ind w:firstLine="480"/>
        <w:rPr>
          <w:color w:val="000000"/>
        </w:rPr>
      </w:pPr>
      <w:r>
        <w:rPr>
          <w:rFonts w:hint="eastAsia"/>
          <w:color w:val="000000"/>
        </w:rPr>
        <w:t>在厂家规定的正常使用条件下，仪器对尺骨和桡骨体模样品分别进行测量，其测量结果与样品相应的实际值相比，其中相对误差绝对值不应大于20%。</w:t>
      </w:r>
    </w:p>
    <w:p w14:paraId="3662C032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5.2测量重复性</w:t>
      </w:r>
    </w:p>
    <w:p w14:paraId="4C1E169B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    在厂家规定的正常使用条件下，仪器对尺骨和桡骨体模中BMD接近于1.0</w:t>
      </w:r>
      <w:r>
        <w:rPr>
          <w:rFonts w:hint="eastAsia" w:ascii="宋体" w:hAnsi="宋体"/>
        </w:rPr>
        <w:t>g/cm</w:t>
      </w:r>
      <w:r>
        <w:rPr>
          <w:rFonts w:hint="eastAsia" w:ascii="宋体" w:hAnsi="宋体"/>
          <w:vertAlign w:val="superscript"/>
        </w:rPr>
        <w:t>2</w:t>
      </w:r>
      <w:r>
        <w:rPr>
          <w:rFonts w:hint="eastAsia" w:ascii="宋体" w:hAnsi="宋体"/>
        </w:rPr>
        <w:t>的样品进行测量，其重复性不应大于2%。</w:t>
      </w:r>
    </w:p>
    <w:p w14:paraId="7EFB320A">
      <w:pPr>
        <w:snapToGrid w:val="0"/>
        <w:spacing w:line="360" w:lineRule="auto"/>
        <w:rPr>
          <w:rFonts w:ascii="宋体" w:hAnsi="宋体"/>
        </w:rPr>
      </w:pPr>
      <w:r>
        <w:rPr>
          <w:rFonts w:hint="eastAsia"/>
          <w:color w:val="000000"/>
        </w:rPr>
        <w:t>5.3</w:t>
      </w:r>
      <w:r>
        <w:rPr>
          <w:color w:val="000000"/>
        </w:rPr>
        <w:t xml:space="preserve"> </w:t>
      </w:r>
      <w:bookmarkEnd w:id="9"/>
      <w:r>
        <w:rPr>
          <w:rFonts w:hint="eastAsia" w:ascii="宋体" w:hAnsi="宋体"/>
        </w:rPr>
        <w:t>辐射防护性能</w:t>
      </w:r>
    </w:p>
    <w:p w14:paraId="76C3E6DA">
      <w:pPr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ascii="宋体" w:hAnsi="宋体"/>
        </w:rPr>
        <w:t>骨密度仪在加载条件下，以标称X射线管电压运行时，距焦点</w:t>
      </w:r>
      <w:r>
        <w:rPr>
          <w:rFonts w:hint="eastAsia" w:ascii="宋体" w:hAnsi="宋体"/>
        </w:rPr>
        <w:t>0.5m处，在任意100cm</w:t>
      </w:r>
      <w:r>
        <w:rPr>
          <w:rFonts w:hint="eastAsia" w:ascii="宋体" w:hAnsi="宋体"/>
          <w:vertAlign w:val="superscript"/>
        </w:rPr>
        <w:t>2</w:t>
      </w:r>
      <w:r>
        <w:rPr>
          <w:rFonts w:hint="eastAsia" w:ascii="宋体" w:hAnsi="宋体"/>
        </w:rPr>
        <w:t>的区域，泄漏辐射空气比释动能率不应大于1.0mGy/h。</w:t>
      </w:r>
    </w:p>
    <w:p w14:paraId="6F8DABA5">
      <w:pPr>
        <w:spacing w:line="360" w:lineRule="auto"/>
        <w:ind w:firstLine="600" w:firstLineChars="250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*以上计量特性要求仅供参考，不作为判定依据。</w:t>
      </w:r>
    </w:p>
    <w:p w14:paraId="64823321">
      <w:pPr>
        <w:pStyle w:val="2"/>
        <w:spacing w:beforeLines="50" w:line="360" w:lineRule="auto"/>
        <w:rPr>
          <w:rFonts w:ascii="Times New Roman" w:hAnsi="Times New Roman"/>
        </w:rPr>
      </w:pPr>
      <w:bookmarkStart w:id="10" w:name="_Toc147602976"/>
      <w:bookmarkStart w:id="11" w:name="_Toc150676743"/>
      <w:r>
        <w:rPr>
          <w:rFonts w:hint="eastAsia" w:ascii="Times New Roman" w:hAnsi="Times New Roman"/>
        </w:rPr>
        <w:t>6</w:t>
      </w:r>
      <w:r>
        <w:rPr>
          <w:rFonts w:ascii="Times New Roman" w:hAnsi="Times New Roman"/>
        </w:rPr>
        <w:t xml:space="preserve"> 校准条件</w:t>
      </w:r>
      <w:bookmarkEnd w:id="10"/>
      <w:bookmarkEnd w:id="11"/>
    </w:p>
    <w:p w14:paraId="3F820690">
      <w:pPr>
        <w:snapToGrid w:val="0"/>
        <w:spacing w:line="360" w:lineRule="auto"/>
        <w:rPr>
          <w:color w:val="000000"/>
        </w:rPr>
      </w:pPr>
      <w:bookmarkStart w:id="12" w:name="_Toc147602977"/>
      <w:bookmarkStart w:id="13" w:name="_Toc150676744"/>
      <w:r>
        <w:rPr>
          <w:rFonts w:hint="eastAsia"/>
          <w:color w:val="000000"/>
        </w:rPr>
        <w:t>6</w:t>
      </w:r>
      <w:r>
        <w:rPr>
          <w:color w:val="000000"/>
        </w:rPr>
        <w:t>.1 环境条件</w:t>
      </w:r>
      <w:bookmarkEnd w:id="12"/>
      <w:bookmarkEnd w:id="13"/>
    </w:p>
    <w:p w14:paraId="6E402C58">
      <w:pPr>
        <w:snapToGrid w:val="0"/>
        <w:spacing w:line="360" w:lineRule="auto"/>
        <w:rPr>
          <w:color w:val="000000"/>
        </w:rPr>
      </w:pPr>
      <w:r>
        <w:rPr>
          <w:color w:val="000000"/>
        </w:rPr>
        <w:t>环境温度：（15～35）℃；</w:t>
      </w:r>
    </w:p>
    <w:p w14:paraId="00C035F9">
      <w:pPr>
        <w:snapToGrid w:val="0"/>
        <w:spacing w:line="360" w:lineRule="auto"/>
        <w:rPr>
          <w:color w:val="000000"/>
        </w:rPr>
      </w:pPr>
      <w:r>
        <w:rPr>
          <w:color w:val="000000"/>
        </w:rPr>
        <w:t>相对湿度：</w:t>
      </w:r>
      <w:bookmarkStart w:id="14" w:name="_Hlk142920080"/>
      <w:r>
        <w:rPr>
          <w:color w:val="000000"/>
        </w:rPr>
        <w:t>≤85%</w:t>
      </w:r>
      <w:bookmarkEnd w:id="14"/>
      <w:r>
        <w:rPr>
          <w:color w:val="000000"/>
        </w:rPr>
        <w:t>。</w:t>
      </w:r>
    </w:p>
    <w:p w14:paraId="30E54CBD">
      <w:pPr>
        <w:snapToGrid w:val="0"/>
        <w:spacing w:line="360" w:lineRule="auto"/>
        <w:rPr>
          <w:color w:val="000000"/>
        </w:rPr>
      </w:pPr>
      <w:bookmarkStart w:id="15" w:name="_Toc150676745"/>
      <w:bookmarkStart w:id="16" w:name="_Toc147602978"/>
      <w:r>
        <w:rPr>
          <w:rFonts w:hint="eastAsia"/>
          <w:color w:val="000000"/>
        </w:rPr>
        <w:t>6</w:t>
      </w:r>
      <w:r>
        <w:rPr>
          <w:color w:val="000000"/>
        </w:rPr>
        <w:t>.2 测量标准及其他设备</w:t>
      </w:r>
      <w:bookmarkEnd w:id="15"/>
      <w:bookmarkEnd w:id="16"/>
    </w:p>
    <w:p w14:paraId="0B53FAD0">
      <w:pPr>
        <w:snapToGrid w:val="0"/>
        <w:spacing w:line="360" w:lineRule="auto"/>
        <w:rPr>
          <w:color w:val="000000"/>
        </w:rPr>
      </w:pPr>
      <w:bookmarkStart w:id="17" w:name="_Toc147603517"/>
      <w:r>
        <w:rPr>
          <w:rFonts w:hint="eastAsia"/>
          <w:color w:val="000000"/>
        </w:rPr>
        <w:t>6</w:t>
      </w:r>
      <w:r>
        <w:rPr>
          <w:color w:val="000000"/>
        </w:rPr>
        <w:t>.2.1</w:t>
      </w:r>
      <w:bookmarkEnd w:id="17"/>
      <w:r>
        <w:rPr>
          <w:color w:val="000000"/>
        </w:rPr>
        <w:t>尺骨模体</w:t>
      </w:r>
    </w:p>
    <w:p w14:paraId="71C2E731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BMD测量范围：（0</w:t>
      </w:r>
      <w:r>
        <w:rPr>
          <w:color w:val="000000"/>
        </w:rPr>
        <w:t>.2~</w:t>
      </w:r>
      <w:r>
        <w:rPr>
          <w:rFonts w:hint="eastAsia"/>
          <w:color w:val="000000"/>
        </w:rPr>
        <w:t>1.0）g/cm</w:t>
      </w:r>
      <w:r>
        <w:rPr>
          <w:rFonts w:hint="eastAsia"/>
          <w:color w:val="000000"/>
          <w:vertAlign w:val="superscript"/>
        </w:rPr>
        <w:t>2</w:t>
      </w:r>
      <w:r>
        <w:rPr>
          <w:rFonts w:hint="eastAsia"/>
          <w:color w:val="000000"/>
        </w:rPr>
        <w:t>；相对误差为±</w:t>
      </w:r>
      <w:r>
        <w:rPr>
          <w:color w:val="000000"/>
        </w:rPr>
        <w:t>5</w:t>
      </w:r>
      <w:r>
        <w:rPr>
          <w:rFonts w:hint="eastAsia"/>
          <w:color w:val="000000"/>
        </w:rPr>
        <w:t>.0%。</w:t>
      </w:r>
    </w:p>
    <w:p w14:paraId="380EFAA6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6</w:t>
      </w:r>
      <w:r>
        <w:rPr>
          <w:color w:val="000000"/>
        </w:rPr>
        <w:t>.2.1桡骨模体</w:t>
      </w:r>
    </w:p>
    <w:p w14:paraId="614969AC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BMD测量范围：（0</w:t>
      </w:r>
      <w:r>
        <w:rPr>
          <w:color w:val="000000"/>
        </w:rPr>
        <w:t>.2~</w:t>
      </w:r>
      <w:r>
        <w:rPr>
          <w:rFonts w:hint="eastAsia"/>
          <w:color w:val="000000"/>
        </w:rPr>
        <w:t>1.3）g/cm</w:t>
      </w:r>
      <w:r>
        <w:rPr>
          <w:rFonts w:hint="eastAsia"/>
          <w:color w:val="000000"/>
          <w:vertAlign w:val="superscript"/>
        </w:rPr>
        <w:t>2</w:t>
      </w:r>
      <w:r>
        <w:rPr>
          <w:rFonts w:hint="eastAsia"/>
          <w:color w:val="000000"/>
        </w:rPr>
        <w:t>；相对误差为±</w:t>
      </w:r>
      <w:r>
        <w:rPr>
          <w:color w:val="000000"/>
        </w:rPr>
        <w:t>5</w:t>
      </w:r>
      <w:r>
        <w:rPr>
          <w:rFonts w:hint="eastAsia"/>
          <w:color w:val="000000"/>
        </w:rPr>
        <w:t>.0%。</w:t>
      </w:r>
    </w:p>
    <w:p w14:paraId="329EF432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6</w:t>
      </w:r>
      <w:r>
        <w:rPr>
          <w:color w:val="000000"/>
        </w:rPr>
        <w:t>.2.</w:t>
      </w:r>
      <w:r>
        <w:rPr>
          <w:rFonts w:hint="eastAsia"/>
          <w:color w:val="000000"/>
        </w:rPr>
        <w:t>3</w:t>
      </w:r>
      <w:r>
        <w:rPr>
          <w:color w:val="000000"/>
        </w:rPr>
        <w:t xml:space="preserve"> 辐射防护仪 </w:t>
      </w:r>
    </w:p>
    <w:p w14:paraId="437D241A">
      <w:pPr>
        <w:snapToGrid w:val="0"/>
        <w:spacing w:line="360" w:lineRule="auto"/>
        <w:rPr>
          <w:color w:val="000000"/>
        </w:rPr>
      </w:pPr>
      <w:bookmarkStart w:id="18" w:name="_Hlk142494395"/>
      <w:r>
        <w:rPr>
          <w:rFonts w:hint="eastAsia"/>
          <w:color w:val="000000"/>
        </w:rPr>
        <w:t xml:space="preserve">    能量响应30keV~1.25 keV不应超过±30%</w:t>
      </w:r>
    </w:p>
    <w:bookmarkEnd w:id="18"/>
    <w:p w14:paraId="7C428BB1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    固有误差不应超过±30%</w:t>
      </w:r>
    </w:p>
    <w:p w14:paraId="31A70B17">
      <w:pPr>
        <w:pStyle w:val="2"/>
        <w:spacing w:beforeLines="50" w:line="360" w:lineRule="auto"/>
        <w:rPr>
          <w:rFonts w:ascii="Times New Roman" w:hAnsi="Times New Roman"/>
        </w:rPr>
      </w:pPr>
      <w:bookmarkStart w:id="19" w:name="_Toc150676746"/>
      <w:bookmarkStart w:id="20" w:name="_Toc147602979"/>
      <w:r>
        <w:rPr>
          <w:rFonts w:hint="eastAsia" w:ascii="Times New Roman" w:hAnsi="Times New Roman"/>
        </w:rPr>
        <w:t>7</w:t>
      </w:r>
      <w:r>
        <w:rPr>
          <w:rFonts w:ascii="Times New Roman" w:hAnsi="Times New Roman"/>
        </w:rPr>
        <w:t xml:space="preserve"> 校准项目和校准方法</w:t>
      </w:r>
      <w:bookmarkEnd w:id="19"/>
      <w:bookmarkEnd w:id="20"/>
    </w:p>
    <w:p w14:paraId="2638AE04">
      <w:pPr>
        <w:snapToGrid w:val="0"/>
        <w:spacing w:line="360" w:lineRule="auto"/>
        <w:rPr>
          <w:color w:val="000000"/>
        </w:rPr>
      </w:pPr>
      <w:bookmarkStart w:id="21" w:name="_Toc150676747"/>
      <w:bookmarkStart w:id="22" w:name="_Toc147602980"/>
      <w:r>
        <w:rPr>
          <w:rFonts w:hint="eastAsia"/>
          <w:color w:val="000000"/>
        </w:rPr>
        <w:t>7</w:t>
      </w:r>
      <w:r>
        <w:rPr>
          <w:color w:val="000000"/>
        </w:rPr>
        <w:t>.1</w:t>
      </w:r>
      <w:bookmarkEnd w:id="21"/>
      <w:bookmarkEnd w:id="22"/>
      <w:r>
        <w:rPr>
          <w:rFonts w:hint="eastAsia"/>
          <w:color w:val="000000"/>
        </w:rPr>
        <w:t>外观及工作正常性检查</w:t>
      </w:r>
    </w:p>
    <w:p w14:paraId="6BCA1C91">
      <w:pPr>
        <w:snapToGrid w:val="0"/>
        <w:spacing w:line="360" w:lineRule="auto"/>
        <w:ind w:firstLine="480" w:firstLineChars="200"/>
        <w:rPr>
          <w:color w:val="000000"/>
        </w:rPr>
      </w:pPr>
      <w:bookmarkStart w:id="23" w:name="_Toc147602981"/>
      <w:bookmarkStart w:id="24" w:name="_Toc288805530"/>
      <w:r>
        <w:rPr>
          <w:color w:val="000000"/>
        </w:rPr>
        <w:t>检查</w:t>
      </w:r>
      <w:r>
        <w:rPr>
          <w:rFonts w:hint="eastAsia"/>
          <w:color w:val="000000"/>
        </w:rPr>
        <w:t>骨密度仪</w:t>
      </w:r>
      <w:r>
        <w:rPr>
          <w:color w:val="000000"/>
        </w:rPr>
        <w:t>有无下列标志：名称、型号、出厂编号、制造厂名等，以及有无影响其计量特性的缺陷。</w:t>
      </w:r>
    </w:p>
    <w:p w14:paraId="65021178">
      <w:pPr>
        <w:snapToGrid w:val="0"/>
        <w:spacing w:line="360" w:lineRule="auto"/>
        <w:rPr>
          <w:color w:val="000000"/>
        </w:rPr>
      </w:pPr>
      <w:bookmarkStart w:id="25" w:name="_Toc150676748"/>
      <w:r>
        <w:rPr>
          <w:rFonts w:hint="eastAsia"/>
          <w:color w:val="000000"/>
        </w:rPr>
        <w:t>7</w:t>
      </w:r>
      <w:r>
        <w:rPr>
          <w:color w:val="000000"/>
        </w:rPr>
        <w:t>.2</w:t>
      </w:r>
      <w:r>
        <w:rPr>
          <w:rFonts w:hint="eastAsia"/>
          <w:color w:val="000000"/>
        </w:rPr>
        <w:t>测量结果误差</w:t>
      </w:r>
      <w:bookmarkEnd w:id="23"/>
      <w:bookmarkEnd w:id="25"/>
    </w:p>
    <w:p w14:paraId="4BD96495">
      <w:pPr>
        <w:snapToGrid w:val="0"/>
        <w:spacing w:line="360" w:lineRule="auto"/>
        <w:ind w:firstLine="480" w:firstLineChars="200"/>
        <w:rPr>
          <w:color w:val="000000"/>
        </w:rPr>
      </w:pPr>
      <w:r>
        <w:rPr>
          <w:rFonts w:hint="eastAsia"/>
          <w:color w:val="000000"/>
        </w:rPr>
        <w:t>骨密度仪开机，经预热稳定后，按说明书要求用质控模体对仪器进行校正。</w:t>
      </w:r>
    </w:p>
    <w:p w14:paraId="3E298AF5">
      <w:pPr>
        <w:snapToGrid w:val="0"/>
        <w:spacing w:line="360" w:lineRule="auto"/>
        <w:rPr>
          <w:color w:val="000000"/>
        </w:rPr>
      </w:pPr>
      <w:r>
        <w:rPr>
          <w:color w:val="000000"/>
        </w:rPr>
        <w:t>在正常使用条件下，对尺骨模体和桡骨模体中每一个骨筒样品测量三次，三次取平均值。仪器</w:t>
      </w:r>
      <w:r>
        <w:rPr>
          <w:rFonts w:hint="eastAsia"/>
          <w:color w:val="000000"/>
        </w:rPr>
        <w:t>BMD测量值的相对误差</w:t>
      </w:r>
      <w:r>
        <w:rPr>
          <w:color w:val="000000"/>
        </w:rPr>
        <w:t>按公式（1）计算：</w:t>
      </w:r>
    </w:p>
    <w:p w14:paraId="040DC365">
      <w:pPr>
        <w:wordWrap w:val="0"/>
        <w:spacing w:line="360" w:lineRule="auto"/>
        <w:jc w:val="right"/>
      </w:pPr>
      <w:r>
        <w:rPr>
          <w:position w:val="-10"/>
        </w:rPr>
        <w:object>
          <v:shape id="_x0000_i1025" o:spt="75" type="#_x0000_t75" style="height:16.75pt;width:9.2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15">
            <o:LockedField>false</o:LockedField>
          </o:OLEObject>
        </w:object>
      </w:r>
      <w:r>
        <w:rPr>
          <w:position w:val="-30"/>
        </w:rPr>
        <w:object>
          <v:shape id="_x0000_i1026" o:spt="75" type="#_x0000_t75" style="height:37.65pt;width:132.3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17">
            <o:LockedField>false</o:LockedField>
          </o:OLEObject>
        </w:object>
      </w:r>
      <w:r>
        <w:t xml:space="preserve">                      （1）</w:t>
      </w:r>
    </w:p>
    <w:p w14:paraId="49BAA13E">
      <w:pPr>
        <w:autoSpaceDE w:val="0"/>
        <w:autoSpaceDN w:val="0"/>
        <w:adjustRightInd w:val="0"/>
        <w:spacing w:line="360" w:lineRule="auto"/>
        <w:jc w:val="left"/>
        <w:rPr>
          <w:rFonts w:hAnsi="宋体"/>
          <w:color w:val="000000"/>
        </w:rPr>
      </w:pPr>
      <w:r>
        <w:rPr>
          <w:rFonts w:hAnsi="宋体"/>
          <w:color w:val="000000"/>
        </w:rPr>
        <w:t>式中：</w:t>
      </w:r>
      <w:r>
        <w:rPr>
          <w:color w:val="000000"/>
          <w:position w:val="-6"/>
        </w:rPr>
        <w:t xml:space="preserve"> </w:t>
      </w:r>
      <w:r>
        <w:rPr>
          <w:color w:val="000000"/>
          <w:position w:val="-4"/>
        </w:rPr>
        <w:object>
          <v:shape id="_x0000_i1027" o:spt="75" type="#_x0000_t75" style="height:15.9pt;width:30.15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9">
            <o:LockedField>false</o:LockedField>
          </o:OLEObject>
        </w:object>
      </w:r>
      <w:r>
        <w:rPr>
          <w:rFonts w:hint="eastAsia"/>
          <w:color w:val="000000"/>
          <w:position w:val="-6"/>
        </w:rPr>
        <w:t xml:space="preserve"> </w:t>
      </w:r>
      <w:r>
        <w:rPr>
          <w:color w:val="000000"/>
        </w:rPr>
        <w:t>—</w:t>
      </w:r>
      <w:r>
        <w:rPr>
          <w:rFonts w:hint="eastAsia"/>
          <w:color w:val="000000"/>
        </w:rPr>
        <w:t>仪器对某个骨筒样品测量三次的平均值</w:t>
      </w:r>
      <w:r>
        <w:rPr>
          <w:rFonts w:hAnsi="宋体"/>
          <w:color w:val="000000"/>
        </w:rPr>
        <w:t>，</w:t>
      </w:r>
      <w:r>
        <w:rPr>
          <w:rFonts w:hint="eastAsia"/>
          <w:color w:val="000000"/>
        </w:rPr>
        <w:t>g/cm</w:t>
      </w:r>
      <w:r>
        <w:rPr>
          <w:rFonts w:hint="eastAsia"/>
          <w:color w:val="000000"/>
          <w:vertAlign w:val="superscript"/>
        </w:rPr>
        <w:t>2</w:t>
      </w:r>
      <w:r>
        <w:rPr>
          <w:rFonts w:hAnsi="宋体"/>
          <w:color w:val="000000"/>
        </w:rPr>
        <w:t>；</w:t>
      </w:r>
    </w:p>
    <w:p w14:paraId="521E3BEA"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color w:val="000000"/>
          <w:highlight w:val="yellow"/>
        </w:rPr>
      </w:pPr>
      <w:r>
        <w:rPr>
          <w:color w:val="000000"/>
          <w:position w:val="-12"/>
        </w:rPr>
        <w:object>
          <v:shape id="_x0000_i1028" o:spt="75" type="#_x0000_t75" style="height:18.4pt;width:34.35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21">
            <o:LockedField>false</o:LockedField>
          </o:OLEObject>
        </w:object>
      </w:r>
      <w:r>
        <w:rPr>
          <w:color w:val="000000"/>
        </w:rPr>
        <w:t xml:space="preserve"> —</w:t>
      </w:r>
      <w:r>
        <w:rPr>
          <w:rFonts w:hint="eastAsia"/>
          <w:color w:val="000000"/>
        </w:rPr>
        <w:t>相应骨筒样品的标准值</w:t>
      </w:r>
      <w:r>
        <w:rPr>
          <w:rFonts w:hAnsi="宋体"/>
          <w:color w:val="000000"/>
        </w:rPr>
        <w:t>，</w:t>
      </w:r>
      <w:r>
        <w:rPr>
          <w:rFonts w:hint="eastAsia"/>
          <w:color w:val="000000"/>
        </w:rPr>
        <w:t>g/cm</w:t>
      </w:r>
      <w:r>
        <w:rPr>
          <w:rFonts w:hint="eastAsia"/>
          <w:color w:val="000000"/>
          <w:vertAlign w:val="superscript"/>
        </w:rPr>
        <w:t>2</w:t>
      </w:r>
      <w:r>
        <w:rPr>
          <w:rFonts w:hAnsi="宋体"/>
          <w:color w:val="000000"/>
        </w:rPr>
        <w:t>。</w:t>
      </w:r>
    </w:p>
    <w:p w14:paraId="6866D2CA">
      <w:pPr>
        <w:snapToGrid w:val="0"/>
        <w:spacing w:line="360" w:lineRule="auto"/>
        <w:rPr>
          <w:color w:val="000000"/>
        </w:rPr>
      </w:pPr>
      <w:bookmarkStart w:id="26" w:name="_Toc150676749"/>
      <w:bookmarkStart w:id="27" w:name="_Toc147602982"/>
      <w:r>
        <w:rPr>
          <w:rFonts w:hint="eastAsia"/>
          <w:color w:val="000000"/>
        </w:rPr>
        <w:t>7</w:t>
      </w:r>
      <w:r>
        <w:rPr>
          <w:color w:val="000000"/>
        </w:rPr>
        <w:t>.3 测量重复性</w:t>
      </w:r>
      <w:bookmarkEnd w:id="26"/>
      <w:bookmarkEnd w:id="27"/>
    </w:p>
    <w:p w14:paraId="342C9DCB">
      <w:pPr>
        <w:snapToGrid w:val="0"/>
        <w:spacing w:line="360" w:lineRule="auto"/>
        <w:ind w:firstLine="480" w:firstLineChars="200"/>
        <w:rPr>
          <w:color w:val="000000"/>
        </w:rPr>
      </w:pPr>
      <w:r>
        <w:rPr>
          <w:color w:val="000000"/>
        </w:rPr>
        <w:t>在正常使用条件下，将尺骨模体和桡骨模体放在测量位置，对骨密度接近于</w:t>
      </w:r>
      <w:r>
        <w:rPr>
          <w:rFonts w:hint="eastAsia"/>
          <w:color w:val="000000"/>
        </w:rPr>
        <w:t>0.5 g/cm</w:t>
      </w:r>
      <w:r>
        <w:rPr>
          <w:rFonts w:hint="eastAsia"/>
          <w:color w:val="000000"/>
          <w:vertAlign w:val="superscript"/>
        </w:rPr>
        <w:t>2</w:t>
      </w:r>
      <w:r>
        <w:rPr>
          <w:color w:val="000000"/>
        </w:rPr>
        <w:t>骨筒样品重复测量</w:t>
      </w:r>
      <w:r>
        <w:rPr>
          <w:rFonts w:hint="eastAsia"/>
          <w:color w:val="000000"/>
        </w:rPr>
        <w:t>10</w:t>
      </w:r>
      <w:r>
        <w:rPr>
          <w:color w:val="000000"/>
        </w:rPr>
        <w:t>次</w:t>
      </w:r>
      <w:r>
        <w:rPr>
          <w:rFonts w:hint="eastAsia"/>
          <w:color w:val="000000"/>
        </w:rPr>
        <w:t>并记录测量结果</w:t>
      </w:r>
      <w:r>
        <w:rPr>
          <w:color w:val="000000"/>
        </w:rPr>
        <w:t>，按公式（2）计算相对实验标准偏差V表示。</w:t>
      </w:r>
    </w:p>
    <w:p w14:paraId="7E503730">
      <w:pPr>
        <w:snapToGrid w:val="0"/>
        <w:spacing w:line="360" w:lineRule="auto"/>
        <w:jc w:val="center"/>
        <w:rPr>
          <w:color w:val="000000"/>
        </w:rPr>
      </w:pPr>
      <w:r>
        <w:rPr>
          <w:rFonts w:hint="eastAsia"/>
          <w:color w:val="000000"/>
        </w:rPr>
        <w:t xml:space="preserve">                   </w:t>
      </w:r>
      <w:r>
        <w:rPr>
          <w:color w:val="000000"/>
          <w:position w:val="-26"/>
        </w:rPr>
        <w:object>
          <v:shape id="_x0000_i1029" o:spt="75" type="#_x0000_t75" style="height:51.9pt;width:144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23">
            <o:LockedField>false</o:LockedField>
          </o:OLEObject>
        </w:object>
      </w:r>
      <w:r>
        <w:rPr>
          <w:color w:val="000000"/>
        </w:rPr>
        <w:t xml:space="preserve">         </w:t>
      </w:r>
      <w:r>
        <w:rPr>
          <w:rFonts w:hint="eastAsia"/>
          <w:color w:val="000000"/>
        </w:rPr>
        <w:t xml:space="preserve">          </w:t>
      </w:r>
      <w:r>
        <w:rPr>
          <w:color w:val="000000"/>
        </w:rPr>
        <w:t xml:space="preserve"> （2）</w:t>
      </w:r>
    </w:p>
    <w:p w14:paraId="57AB5CEF">
      <w:pPr>
        <w:autoSpaceDE w:val="0"/>
        <w:autoSpaceDN w:val="0"/>
        <w:adjustRightInd w:val="0"/>
        <w:spacing w:line="360" w:lineRule="auto"/>
        <w:jc w:val="left"/>
        <w:rPr>
          <w:rFonts w:hAnsi="宋体"/>
          <w:color w:val="000000"/>
        </w:rPr>
      </w:pPr>
      <w:r>
        <w:rPr>
          <w:rFonts w:hAnsi="宋体"/>
          <w:color w:val="000000"/>
        </w:rPr>
        <w:t>式中：V</w:t>
      </w:r>
      <w:r>
        <w:rPr>
          <w:rFonts w:hint="eastAsia" w:hAnsi="宋体"/>
          <w:color w:val="000000"/>
        </w:rPr>
        <w:t xml:space="preserve"> </w:t>
      </w:r>
      <w:r>
        <w:rPr>
          <w:rFonts w:hAnsi="宋体"/>
          <w:color w:val="000000"/>
        </w:rPr>
        <w:t>—</w:t>
      </w:r>
      <w:r>
        <w:rPr>
          <w:rFonts w:hint="eastAsia" w:hAnsi="宋体"/>
          <w:color w:val="000000"/>
        </w:rPr>
        <w:t>测量重复性</w:t>
      </w:r>
      <w:r>
        <w:rPr>
          <w:rFonts w:hAnsi="宋体"/>
          <w:color w:val="000000"/>
        </w:rPr>
        <w:t>，%；</w:t>
      </w:r>
    </w:p>
    <w:p w14:paraId="204449DF"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hAnsi="宋体"/>
          <w:color w:val="000000"/>
        </w:rPr>
      </w:pPr>
      <w:r>
        <w:rPr>
          <w:rFonts w:hAnsi="宋体"/>
          <w:color w:val="000000"/>
        </w:rPr>
        <w:object>
          <v:shape id="_x0000_i1030" o:spt="75" type="#_x0000_t75" style="height:16.75pt;width:15.9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25">
            <o:LockedField>false</o:LockedField>
          </o:OLEObject>
        </w:object>
      </w:r>
      <w:r>
        <w:rPr>
          <w:rFonts w:hAnsi="宋体"/>
          <w:color w:val="000000"/>
        </w:rPr>
        <w:t>—第i次测量值，</w:t>
      </w:r>
      <w:r>
        <w:rPr>
          <w:rFonts w:hint="eastAsia" w:hAnsi="宋体"/>
          <w:color w:val="000000"/>
        </w:rPr>
        <w:t>g/cm</w:t>
      </w:r>
      <w:r>
        <w:rPr>
          <w:rFonts w:hint="eastAsia" w:hAnsi="宋体"/>
          <w:color w:val="000000"/>
          <w:vertAlign w:val="superscript"/>
        </w:rPr>
        <w:t>2</w:t>
      </w:r>
      <w:r>
        <w:rPr>
          <w:rFonts w:hAnsi="宋体"/>
          <w:color w:val="000000"/>
        </w:rPr>
        <w:t>；</w:t>
      </w:r>
    </w:p>
    <w:p w14:paraId="37B75BC4"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hAnsi="宋体"/>
          <w:color w:val="000000"/>
        </w:rPr>
      </w:pPr>
      <w:r>
        <w:rPr>
          <w:rFonts w:hAnsi="宋体"/>
          <w:color w:val="000000"/>
          <w:position w:val="-4"/>
        </w:rPr>
        <w:object>
          <v:shape id="_x0000_i1031" o:spt="75" type="#_x0000_t75" style="height:15.9pt;width:12.5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27">
            <o:LockedField>false</o:LockedField>
          </o:OLEObject>
        </w:object>
      </w:r>
      <w:r>
        <w:rPr>
          <w:rFonts w:hAnsi="宋体"/>
          <w:color w:val="000000"/>
        </w:rPr>
        <w:t>—</w:t>
      </w:r>
      <w:r>
        <w:rPr>
          <w:rFonts w:hint="eastAsia" w:hAnsi="宋体"/>
          <w:color w:val="000000"/>
        </w:rPr>
        <w:t>10次测量平均值</w:t>
      </w:r>
      <w:r>
        <w:rPr>
          <w:rFonts w:hAnsi="宋体"/>
          <w:color w:val="000000"/>
        </w:rPr>
        <w:t>，</w:t>
      </w:r>
      <w:r>
        <w:rPr>
          <w:rFonts w:hint="eastAsia" w:hAnsi="宋体"/>
          <w:color w:val="000000"/>
        </w:rPr>
        <w:t>g/cm</w:t>
      </w:r>
      <w:r>
        <w:rPr>
          <w:rFonts w:hint="eastAsia" w:hAnsi="宋体"/>
          <w:color w:val="000000"/>
          <w:vertAlign w:val="superscript"/>
        </w:rPr>
        <w:t>2</w:t>
      </w:r>
      <w:r>
        <w:rPr>
          <w:rFonts w:hint="eastAsia" w:hAnsi="宋体"/>
          <w:color w:val="000000"/>
        </w:rPr>
        <w:t>。</w:t>
      </w:r>
    </w:p>
    <w:p w14:paraId="4CC59019">
      <w:pPr>
        <w:autoSpaceDE w:val="0"/>
        <w:autoSpaceDN w:val="0"/>
        <w:adjustRightInd w:val="0"/>
        <w:spacing w:line="360" w:lineRule="auto"/>
        <w:jc w:val="left"/>
        <w:rPr>
          <w:rFonts w:hAnsi="宋体"/>
          <w:color w:val="000000"/>
        </w:rPr>
      </w:pPr>
      <w:bookmarkStart w:id="28" w:name="_Toc150676750"/>
      <w:bookmarkStart w:id="29" w:name="_Toc147602983"/>
      <w:r>
        <w:rPr>
          <w:rFonts w:hint="eastAsia" w:hAnsi="宋体"/>
          <w:color w:val="000000"/>
        </w:rPr>
        <w:t>7</w:t>
      </w:r>
      <w:r>
        <w:rPr>
          <w:rFonts w:hAnsi="宋体"/>
          <w:color w:val="000000"/>
        </w:rPr>
        <w:t>.</w:t>
      </w:r>
      <w:bookmarkEnd w:id="24"/>
      <w:r>
        <w:rPr>
          <w:rFonts w:hAnsi="宋体"/>
          <w:color w:val="000000"/>
        </w:rPr>
        <w:t>4</w:t>
      </w:r>
      <w:r>
        <w:rPr>
          <w:rFonts w:hint="eastAsia" w:ascii="宋体" w:hAnsi="宋体"/>
        </w:rPr>
        <w:t>辐射防护性能</w:t>
      </w:r>
      <w:bookmarkEnd w:id="28"/>
      <w:bookmarkEnd w:id="29"/>
    </w:p>
    <w:p w14:paraId="4200C04B">
      <w:pPr>
        <w:snapToGrid w:val="0"/>
        <w:spacing w:line="360" w:lineRule="auto"/>
        <w:ind w:firstLine="480" w:firstLineChars="200"/>
        <w:rPr>
          <w:rFonts w:ascii="宋体" w:hAnsi="宋体"/>
        </w:rPr>
      </w:pPr>
      <w:r>
        <w:rPr>
          <w:rFonts w:ascii="宋体" w:hAnsi="宋体"/>
        </w:rPr>
        <w:t>双能X射线骨密度仪在以标称X射线管电压运行时，使用的辐射防护仪探测器有效点距焦点</w:t>
      </w:r>
      <w:r>
        <w:rPr>
          <w:rFonts w:hint="eastAsia" w:ascii="宋体" w:hAnsi="宋体"/>
        </w:rPr>
        <w:t>0.5m处，在任意100cm</w:t>
      </w:r>
      <w:r>
        <w:rPr>
          <w:rFonts w:hint="eastAsia" w:ascii="宋体" w:hAnsi="宋体"/>
          <w:vertAlign w:val="superscript"/>
        </w:rPr>
        <w:t>2</w:t>
      </w:r>
      <w:r>
        <w:rPr>
          <w:rFonts w:hint="eastAsia" w:ascii="宋体" w:hAnsi="宋体"/>
        </w:rPr>
        <w:t>的区域测量最大的泄漏辐射空气比释动能率。测量时X射线窗应用面积为100cm</w:t>
      </w:r>
      <w:r>
        <w:rPr>
          <w:rFonts w:hint="eastAsia" w:ascii="宋体" w:hAnsi="宋体"/>
          <w:vertAlign w:val="superscript"/>
        </w:rPr>
        <w:t>2</w:t>
      </w:r>
      <w:r>
        <w:rPr>
          <w:rFonts w:hint="eastAsia" w:ascii="宋体" w:hAnsi="宋体"/>
        </w:rPr>
        <w:t>，厚度不小于4mm的铅遮挡。</w:t>
      </w:r>
    </w:p>
    <w:p w14:paraId="6B0500A1">
      <w:pPr>
        <w:pStyle w:val="2"/>
        <w:spacing w:beforeLines="50" w:line="360" w:lineRule="auto"/>
        <w:rPr>
          <w:rFonts w:ascii="Times New Roman" w:hAnsi="Times New Roman"/>
        </w:rPr>
      </w:pPr>
      <w:bookmarkStart w:id="30" w:name="_Toc150676752"/>
      <w:bookmarkStart w:id="31" w:name="_Toc147602985"/>
      <w:bookmarkStart w:id="32" w:name="_Toc288805533"/>
      <w:r>
        <w:rPr>
          <w:rFonts w:hint="eastAsia" w:ascii="Times New Roman" w:hAnsi="Times New Roman"/>
        </w:rPr>
        <w:t>8</w:t>
      </w:r>
      <w:r>
        <w:rPr>
          <w:rFonts w:ascii="Times New Roman" w:hAnsi="Times New Roman"/>
        </w:rPr>
        <w:t xml:space="preserve"> 校准结果表达</w:t>
      </w:r>
      <w:bookmarkEnd w:id="30"/>
      <w:bookmarkEnd w:id="31"/>
      <w:bookmarkEnd w:id="32"/>
    </w:p>
    <w:p w14:paraId="4770E0B5">
      <w:pPr>
        <w:spacing w:line="360" w:lineRule="auto"/>
        <w:ind w:firstLine="472" w:firstLineChars="200"/>
        <w:rPr>
          <w:spacing w:val="-2"/>
        </w:rPr>
      </w:pPr>
      <w:r>
        <w:rPr>
          <w:rFonts w:hAnsi="宋体"/>
          <w:spacing w:val="-2"/>
        </w:rPr>
        <w:t>校准结果应在校准证书上反映。校准证书应至少包括以下信息：</w:t>
      </w:r>
    </w:p>
    <w:p w14:paraId="3C419291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标题：</w:t>
      </w:r>
      <w:r>
        <w:rPr>
          <w:rFonts w:ascii="Times New Roman" w:hAnsi="Times New Roman"/>
          <w:spacing w:val="-2"/>
        </w:rPr>
        <w:t>“</w:t>
      </w:r>
      <w:r>
        <w:rPr>
          <w:rFonts w:ascii="Times New Roman" w:hAnsi="宋体"/>
          <w:spacing w:val="-2"/>
        </w:rPr>
        <w:t>校准证书</w:t>
      </w:r>
      <w:r>
        <w:rPr>
          <w:rFonts w:ascii="Times New Roman" w:hAnsi="Times New Roman"/>
          <w:spacing w:val="-2"/>
        </w:rPr>
        <w:t xml:space="preserve">” </w:t>
      </w:r>
      <w:r>
        <w:rPr>
          <w:rFonts w:ascii="Times New Roman" w:hAnsi="宋体"/>
          <w:spacing w:val="-2"/>
        </w:rPr>
        <w:t>或</w:t>
      </w:r>
      <w:r>
        <w:rPr>
          <w:rFonts w:ascii="Times New Roman" w:hAnsi="Times New Roman"/>
          <w:spacing w:val="-2"/>
        </w:rPr>
        <w:t>“</w:t>
      </w:r>
      <w:r>
        <w:rPr>
          <w:rFonts w:ascii="Times New Roman" w:hAnsi="宋体"/>
          <w:spacing w:val="-2"/>
        </w:rPr>
        <w:t>校准报告</w:t>
      </w:r>
      <w:r>
        <w:rPr>
          <w:rFonts w:ascii="Times New Roman" w:hAnsi="Times New Roman"/>
          <w:spacing w:val="-2"/>
        </w:rPr>
        <w:t>”</w:t>
      </w:r>
      <w:r>
        <w:rPr>
          <w:rFonts w:ascii="Times New Roman" w:hAnsi="宋体"/>
          <w:spacing w:val="-2"/>
        </w:rPr>
        <w:t>；</w:t>
      </w:r>
    </w:p>
    <w:p w14:paraId="038A2024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实验室名称和地址；</w:t>
      </w:r>
    </w:p>
    <w:p w14:paraId="79F66C83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进行校准的地点（如果与实验室的地址不同）；</w:t>
      </w:r>
    </w:p>
    <w:p w14:paraId="35E6FC56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证书或报告的唯一性标识（如编号），每页及总页数的标识；</w:t>
      </w:r>
    </w:p>
    <w:p w14:paraId="38487696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客户的名称和地址；</w:t>
      </w:r>
    </w:p>
    <w:p w14:paraId="33136E64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被校对象的描述和明确标识；</w:t>
      </w:r>
    </w:p>
    <w:p w14:paraId="2D101D92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进行校准的日期，如果与校准结果的有效性和应用有关时，应说明被校对象的接收日期；</w:t>
      </w:r>
    </w:p>
    <w:p w14:paraId="46870BDB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如果与校准结果的有效性和应用有关时，应对被校样品的抽样程序进行说明；</w:t>
      </w:r>
    </w:p>
    <w:p w14:paraId="505F96BE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校准所依据的技术规范的标识，包括名称及代号；</w:t>
      </w:r>
    </w:p>
    <w:p w14:paraId="71DF4F40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本次校准所用测量标准的溯源性及有效性说明；</w:t>
      </w:r>
    </w:p>
    <w:p w14:paraId="58352898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校准环境的描述；</w:t>
      </w:r>
    </w:p>
    <w:p w14:paraId="3CDF1157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校准结果及其测量不确定度的说明；</w:t>
      </w:r>
    </w:p>
    <w:p w14:paraId="2B43F7B5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对校准规范偏离的说明；</w:t>
      </w:r>
    </w:p>
    <w:p w14:paraId="4CFFA78E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校准证书签发人的签名、职务或等效标识以及签发日期；</w:t>
      </w:r>
    </w:p>
    <w:p w14:paraId="591ED94E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校准结果仅对被校对象有效的声明；</w:t>
      </w:r>
    </w:p>
    <w:p w14:paraId="42F79A55">
      <w:pPr>
        <w:pStyle w:val="31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pacing w:val="-2"/>
        </w:rPr>
      </w:pPr>
      <w:r>
        <w:rPr>
          <w:rFonts w:ascii="Times New Roman" w:hAnsi="宋体"/>
          <w:spacing w:val="-2"/>
        </w:rPr>
        <w:t>未经实验室书面批准，不得部分复制证书或报告的声明。</w:t>
      </w:r>
    </w:p>
    <w:p w14:paraId="190D1DDD">
      <w:pPr>
        <w:spacing w:line="300" w:lineRule="auto"/>
        <w:rPr>
          <w:color w:val="000000"/>
        </w:rPr>
      </w:pPr>
    </w:p>
    <w:p w14:paraId="7D1271C0">
      <w:pPr>
        <w:pStyle w:val="2"/>
        <w:spacing w:line="360" w:lineRule="auto"/>
        <w:rPr>
          <w:rFonts w:ascii="Times New Roman" w:hAnsi="Times New Roman" w:eastAsia="宋体"/>
        </w:rPr>
      </w:pPr>
      <w:bookmarkStart w:id="33" w:name="_Toc177197782"/>
      <w:bookmarkStart w:id="34" w:name="_Toc299032395"/>
      <w:bookmarkStart w:id="35" w:name="_Toc147602986"/>
      <w:bookmarkStart w:id="36" w:name="_Toc280602525"/>
      <w:bookmarkStart w:id="37" w:name="_Toc150676753"/>
      <w:r>
        <w:rPr>
          <w:rFonts w:hint="eastAsia" w:ascii="Times New Roman" w:hAnsi="Times New Roman" w:eastAsia="宋体"/>
          <w:bCs/>
        </w:rPr>
        <w:t>9</w:t>
      </w:r>
      <w:r>
        <w:rPr>
          <w:rFonts w:ascii="Times New Roman" w:hAnsi="Times New Roman" w:eastAsia="宋体"/>
          <w:bCs/>
        </w:rPr>
        <w:t xml:space="preserve"> </w:t>
      </w:r>
      <w:r>
        <w:rPr>
          <w:rFonts w:ascii="Times New Roman" w:eastAsia="宋体"/>
        </w:rPr>
        <w:t>复校时间间隔</w:t>
      </w:r>
      <w:bookmarkEnd w:id="33"/>
      <w:bookmarkEnd w:id="34"/>
      <w:bookmarkEnd w:id="35"/>
      <w:bookmarkEnd w:id="36"/>
      <w:bookmarkEnd w:id="37"/>
    </w:p>
    <w:p w14:paraId="1673238E">
      <w:pPr>
        <w:pStyle w:val="11"/>
        <w:snapToGrid w:val="0"/>
        <w:spacing w:line="360" w:lineRule="auto"/>
        <w:ind w:firstLine="480" w:firstLineChars="200"/>
      </w:pPr>
      <w:r>
        <w:rPr>
          <w:rFonts w:ascii="Times New Roman" w:hAnsi="宋体"/>
        </w:rPr>
        <w:t>由于复校时间间隔的长短是由</w:t>
      </w:r>
      <w:r>
        <w:rPr>
          <w:rFonts w:hint="eastAsia" w:ascii="Times New Roman" w:hAnsi="宋体"/>
          <w:szCs w:val="24"/>
        </w:rPr>
        <w:t>骨密度</w:t>
      </w:r>
      <w:r>
        <w:rPr>
          <w:rFonts w:ascii="Times New Roman" w:hAnsi="宋体"/>
          <w:szCs w:val="24"/>
        </w:rPr>
        <w:t>仪</w:t>
      </w:r>
      <w:r>
        <w:rPr>
          <w:rFonts w:ascii="Times New Roman" w:hAnsi="宋体"/>
        </w:rPr>
        <w:t>的使用情况、使用者、</w:t>
      </w:r>
      <w:r>
        <w:rPr>
          <w:rFonts w:hint="eastAsia" w:ascii="Times New Roman" w:hAnsi="宋体"/>
          <w:szCs w:val="24"/>
        </w:rPr>
        <w:t>仪器</w:t>
      </w:r>
      <w:r>
        <w:rPr>
          <w:rFonts w:ascii="Times New Roman" w:hAnsi="宋体"/>
        </w:rPr>
        <w:t>本身质量等诸因素所决定，因此，送校单位可根据实际使用情况自主决定复校时间间隔，建议不超过</w:t>
      </w:r>
      <w:r>
        <w:rPr>
          <w:rFonts w:ascii="Times New Roman"/>
        </w:rPr>
        <w:t>1</w:t>
      </w:r>
      <w:r>
        <w:rPr>
          <w:rFonts w:ascii="Times New Roman" w:hAnsi="宋体"/>
        </w:rPr>
        <w:t>年。</w:t>
      </w:r>
      <w:r>
        <w:rPr>
          <w:rFonts w:hint="eastAsia" w:ascii="Times New Roman"/>
        </w:rPr>
        <w:t>如果更换重要部件、维修或对骨密度仪性能有怀疑时，应随时校准。</w:t>
      </w:r>
    </w:p>
    <w:p w14:paraId="59B454D5"/>
    <w:p w14:paraId="375CACA7"/>
    <w:p w14:paraId="5075BEBD">
      <w:pPr>
        <w:sectPr>
          <w:footerReference r:id="rId11" w:type="default"/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AndChars" w:linePitch="312" w:charSpace="0"/>
        </w:sectPr>
      </w:pPr>
    </w:p>
    <w:p w14:paraId="6012A5E0">
      <w:pPr>
        <w:pStyle w:val="2"/>
        <w:jc w:val="center"/>
        <w:rPr>
          <w:rFonts w:ascii="Times New Roman" w:hAnsi="Times New Roman"/>
          <w:sz w:val="28"/>
          <w:szCs w:val="28"/>
        </w:rPr>
      </w:pPr>
      <w:bookmarkStart w:id="38" w:name="_Toc288805535"/>
      <w:bookmarkStart w:id="39" w:name="_Toc147602987"/>
      <w:bookmarkStart w:id="40" w:name="_Toc150676754"/>
      <w:r>
        <w:rPr>
          <w:rFonts w:ascii="Times New Roman" w:hAnsi="Times New Roman"/>
          <w:sz w:val="28"/>
          <w:szCs w:val="28"/>
        </w:rPr>
        <w:t>附录A</w:t>
      </w:r>
      <w:bookmarkEnd w:id="38"/>
      <w:r>
        <w:rPr>
          <w:rFonts w:ascii="Times New Roman" w:hAnsi="Times New Roman"/>
          <w:sz w:val="28"/>
          <w:szCs w:val="28"/>
        </w:rPr>
        <w:t xml:space="preserve"> 校准记录格式</w:t>
      </w:r>
      <w:bookmarkEnd w:id="39"/>
      <w:bookmarkEnd w:id="40"/>
    </w:p>
    <w:p w14:paraId="6A8F1222">
      <w:pPr>
        <w:spacing w:line="480" w:lineRule="auto"/>
        <w:rPr>
          <w:spacing w:val="2"/>
          <w:u w:val="single"/>
        </w:rPr>
      </w:pPr>
      <w:r>
        <w:t>送校单位</w:t>
      </w:r>
      <w:r>
        <w:rPr>
          <w:u w:val="single"/>
        </w:rPr>
        <w:t xml:space="preserve">                                   </w:t>
      </w:r>
      <w:r>
        <w:rPr>
          <w:spacing w:val="2"/>
        </w:rPr>
        <w:t>校准地点：</w:t>
      </w:r>
      <w:r>
        <w:rPr>
          <w:spacing w:val="2"/>
          <w:u w:val="single"/>
        </w:rPr>
        <w:t xml:space="preserve">                      </w:t>
      </w:r>
      <w:r>
        <w:rPr>
          <w:u w:val="single"/>
        </w:rPr>
        <w:t xml:space="preserve">          </w:t>
      </w:r>
    </w:p>
    <w:p w14:paraId="33AF8232">
      <w:pPr>
        <w:spacing w:line="360" w:lineRule="auto"/>
        <w:rPr>
          <w:u w:val="single"/>
        </w:rPr>
      </w:pPr>
      <w:r>
        <w:t>器具名称</w:t>
      </w:r>
      <w:r>
        <w:rPr>
          <w:u w:val="single"/>
        </w:rPr>
        <w:t xml:space="preserve">                    </w:t>
      </w:r>
      <w:r>
        <w:rPr>
          <w:rFonts w:hint="eastAsia"/>
          <w:u w:val="single"/>
        </w:rPr>
        <w:t xml:space="preserve"> </w:t>
      </w:r>
      <w:r>
        <w:t>型号规格</w:t>
      </w:r>
      <w:r>
        <w:rPr>
          <w:u w:val="single"/>
        </w:rPr>
        <w:t xml:space="preserve">           </w:t>
      </w:r>
      <w:r>
        <w:t>器具编号</w:t>
      </w:r>
      <w:r>
        <w:rPr>
          <w:u w:val="single"/>
        </w:rPr>
        <w:t xml:space="preserve">                     </w:t>
      </w:r>
    </w:p>
    <w:p w14:paraId="1F8A9F73">
      <w:pPr>
        <w:spacing w:line="360" w:lineRule="auto"/>
        <w:rPr>
          <w:u w:val="single"/>
        </w:rPr>
      </w:pPr>
      <w:r>
        <w:t>制造单位</w:t>
      </w:r>
      <w:r>
        <w:rPr>
          <w:u w:val="single"/>
        </w:rPr>
        <w:t xml:space="preserve">                  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 xml:space="preserve"> </w:t>
      </w:r>
      <w:r>
        <w:rPr>
          <w:spacing w:val="2"/>
        </w:rPr>
        <w:t>本次校准结果的不确定度</w:t>
      </w:r>
      <w:r>
        <w:rPr>
          <w:spacing w:val="2"/>
          <w:u w:val="single"/>
        </w:rPr>
        <w:t xml:space="preserve">                                                        </w:t>
      </w:r>
    </w:p>
    <w:p w14:paraId="75123DB0">
      <w:pPr>
        <w:spacing w:line="360" w:lineRule="auto"/>
        <w:rPr>
          <w:spacing w:val="2"/>
          <w:u w:val="single"/>
        </w:rPr>
      </w:pPr>
      <w:r>
        <w:rPr>
          <w:spacing w:val="2"/>
        </w:rPr>
        <w:t>校准日期</w:t>
      </w:r>
      <w:r>
        <w:rPr>
          <w:spacing w:val="2"/>
          <w:u w:val="single"/>
        </w:rPr>
        <w:t xml:space="preserve">                    </w:t>
      </w:r>
      <w:r>
        <w:rPr>
          <w:spacing w:val="2"/>
        </w:rPr>
        <w:t>证书编号</w:t>
      </w:r>
      <w:r>
        <w:rPr>
          <w:spacing w:val="2"/>
          <w:u w:val="single"/>
        </w:rPr>
        <w:t xml:space="preserve">                                     </w:t>
      </w:r>
    </w:p>
    <w:p w14:paraId="27E14AD3">
      <w:pPr>
        <w:spacing w:line="360" w:lineRule="auto"/>
        <w:rPr>
          <w:spacing w:val="2"/>
          <w:u w:val="single"/>
        </w:rPr>
      </w:pPr>
      <w:r>
        <w:t>温度</w:t>
      </w:r>
      <w:r>
        <w:rPr>
          <w:u w:val="single"/>
        </w:rPr>
        <w:t xml:space="preserve">        </w:t>
      </w:r>
      <w:r>
        <w:t>℃ 相对湿度</w:t>
      </w:r>
      <w:r>
        <w:rPr>
          <w:u w:val="single"/>
        </w:rPr>
        <w:t xml:space="preserve">        </w:t>
      </w:r>
      <w:r>
        <w:t>%校准员</w:t>
      </w:r>
      <w:r>
        <w:rPr>
          <w:u w:val="single"/>
        </w:rPr>
        <w:t xml:space="preserve">           </w:t>
      </w:r>
      <w:r>
        <w:t>核验员</w:t>
      </w:r>
      <w:r>
        <w:rPr>
          <w:u w:val="single"/>
        </w:rPr>
        <w:t xml:space="preserve">                  </w:t>
      </w:r>
    </w:p>
    <w:p w14:paraId="359D0461">
      <w:pPr>
        <w:spacing w:line="360" w:lineRule="auto"/>
        <w:rPr>
          <w:u w:val="single"/>
        </w:rPr>
      </w:pPr>
      <w:r>
        <w:t>校准依据</w:t>
      </w:r>
      <w:r>
        <w:rPr>
          <w:u w:val="single"/>
        </w:rPr>
        <w:t xml:space="preserve">                                                                      </w:t>
      </w:r>
    </w:p>
    <w:p w14:paraId="0F9F3A79">
      <w:pPr>
        <w:spacing w:line="360" w:lineRule="auto"/>
        <w:rPr>
          <w:spacing w:val="2"/>
        </w:rPr>
      </w:pPr>
      <w:r>
        <w:rPr>
          <w:spacing w:val="2"/>
        </w:rPr>
        <w:t>校准所用的主要计量标准器</w:t>
      </w:r>
    </w:p>
    <w:tbl>
      <w:tblPr>
        <w:tblStyle w:val="22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92"/>
        <w:gridCol w:w="1276"/>
        <w:gridCol w:w="2838"/>
        <w:gridCol w:w="1328"/>
        <w:gridCol w:w="1536"/>
      </w:tblGrid>
      <w:tr w14:paraId="3483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0" w:type="dxa"/>
            <w:vAlign w:val="center"/>
          </w:tcPr>
          <w:p w14:paraId="10BAFE0F">
            <w:pPr>
              <w:spacing w:line="500" w:lineRule="exact"/>
              <w:jc w:val="center"/>
            </w:pPr>
            <w:r>
              <w:t>名称</w:t>
            </w:r>
          </w:p>
        </w:tc>
        <w:tc>
          <w:tcPr>
            <w:tcW w:w="992" w:type="dxa"/>
            <w:vAlign w:val="center"/>
          </w:tcPr>
          <w:p w14:paraId="3914EBF6">
            <w:pPr>
              <w:spacing w:line="500" w:lineRule="exact"/>
              <w:jc w:val="center"/>
            </w:pPr>
            <w:r>
              <w:t>型号</w:t>
            </w:r>
          </w:p>
        </w:tc>
        <w:tc>
          <w:tcPr>
            <w:tcW w:w="1276" w:type="dxa"/>
            <w:vAlign w:val="center"/>
          </w:tcPr>
          <w:p w14:paraId="0786E379">
            <w:pPr>
              <w:spacing w:line="500" w:lineRule="exact"/>
              <w:jc w:val="center"/>
            </w:pPr>
            <w:r>
              <w:t>测量范围</w:t>
            </w:r>
          </w:p>
        </w:tc>
        <w:tc>
          <w:tcPr>
            <w:tcW w:w="2838" w:type="dxa"/>
            <w:vAlign w:val="center"/>
          </w:tcPr>
          <w:p w14:paraId="68EBD560">
            <w:pPr>
              <w:spacing w:line="500" w:lineRule="exact"/>
              <w:jc w:val="center"/>
            </w:pPr>
            <w:r>
              <w:rPr>
                <w:color w:val="000000"/>
              </w:rPr>
              <w:t>最大允许误差/不确定度</w:t>
            </w:r>
          </w:p>
        </w:tc>
        <w:tc>
          <w:tcPr>
            <w:tcW w:w="1328" w:type="dxa"/>
            <w:vAlign w:val="center"/>
          </w:tcPr>
          <w:p w14:paraId="674F0AFA">
            <w:pPr>
              <w:spacing w:line="500" w:lineRule="exact"/>
              <w:jc w:val="center"/>
            </w:pPr>
            <w:r>
              <w:t>证书</w:t>
            </w:r>
            <w:r>
              <w:rPr>
                <w:rFonts w:hint="eastAsia"/>
              </w:rPr>
              <w:t>编号</w:t>
            </w:r>
          </w:p>
        </w:tc>
        <w:tc>
          <w:tcPr>
            <w:tcW w:w="1536" w:type="dxa"/>
            <w:vAlign w:val="center"/>
          </w:tcPr>
          <w:p w14:paraId="69BA19C3">
            <w:pPr>
              <w:spacing w:line="500" w:lineRule="exact"/>
              <w:jc w:val="center"/>
            </w:pPr>
            <w:r>
              <w:t>有效期</w:t>
            </w:r>
          </w:p>
        </w:tc>
      </w:tr>
      <w:tr w14:paraId="39AC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0" w:type="dxa"/>
          </w:tcPr>
          <w:p w14:paraId="0A614648">
            <w:pPr>
              <w:jc w:val="center"/>
              <w:rPr>
                <w:color w:val="171D2D"/>
              </w:rPr>
            </w:pPr>
          </w:p>
        </w:tc>
        <w:tc>
          <w:tcPr>
            <w:tcW w:w="992" w:type="dxa"/>
          </w:tcPr>
          <w:p w14:paraId="46371098">
            <w:pPr>
              <w:jc w:val="center"/>
            </w:pPr>
          </w:p>
        </w:tc>
        <w:tc>
          <w:tcPr>
            <w:tcW w:w="1276" w:type="dxa"/>
          </w:tcPr>
          <w:p w14:paraId="392BBAE4">
            <w:pPr>
              <w:jc w:val="center"/>
            </w:pPr>
          </w:p>
        </w:tc>
        <w:tc>
          <w:tcPr>
            <w:tcW w:w="2838" w:type="dxa"/>
          </w:tcPr>
          <w:p w14:paraId="20828DA8">
            <w:pPr>
              <w:jc w:val="center"/>
            </w:pPr>
          </w:p>
        </w:tc>
        <w:tc>
          <w:tcPr>
            <w:tcW w:w="1328" w:type="dxa"/>
          </w:tcPr>
          <w:p w14:paraId="1F4E33EC">
            <w:pPr>
              <w:jc w:val="center"/>
            </w:pPr>
          </w:p>
        </w:tc>
        <w:tc>
          <w:tcPr>
            <w:tcW w:w="1536" w:type="dxa"/>
          </w:tcPr>
          <w:p w14:paraId="458D1501">
            <w:pPr>
              <w:jc w:val="center"/>
            </w:pPr>
          </w:p>
        </w:tc>
      </w:tr>
      <w:tr w14:paraId="50B60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0" w:type="dxa"/>
          </w:tcPr>
          <w:p w14:paraId="4B7EED17">
            <w:pPr>
              <w:jc w:val="center"/>
              <w:rPr>
                <w:color w:val="171D2D"/>
              </w:rPr>
            </w:pPr>
          </w:p>
        </w:tc>
        <w:tc>
          <w:tcPr>
            <w:tcW w:w="992" w:type="dxa"/>
          </w:tcPr>
          <w:p w14:paraId="56603E3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569650AE">
            <w:pPr>
              <w:jc w:val="center"/>
              <w:rPr>
                <w:color w:val="000000"/>
              </w:rPr>
            </w:pPr>
          </w:p>
        </w:tc>
        <w:tc>
          <w:tcPr>
            <w:tcW w:w="2838" w:type="dxa"/>
          </w:tcPr>
          <w:p w14:paraId="12F0F961">
            <w:pPr>
              <w:jc w:val="center"/>
              <w:rPr>
                <w:i/>
                <w:spacing w:val="-20"/>
              </w:rPr>
            </w:pPr>
          </w:p>
        </w:tc>
        <w:tc>
          <w:tcPr>
            <w:tcW w:w="1328" w:type="dxa"/>
          </w:tcPr>
          <w:p w14:paraId="08730644">
            <w:pPr>
              <w:jc w:val="center"/>
              <w:rPr>
                <w:color w:val="171D2D"/>
              </w:rPr>
            </w:pPr>
          </w:p>
        </w:tc>
        <w:tc>
          <w:tcPr>
            <w:tcW w:w="1536" w:type="dxa"/>
          </w:tcPr>
          <w:p w14:paraId="1D2E26EC">
            <w:pPr>
              <w:jc w:val="center"/>
              <w:rPr>
                <w:color w:val="171D2D"/>
              </w:rPr>
            </w:pPr>
          </w:p>
        </w:tc>
      </w:tr>
    </w:tbl>
    <w:p w14:paraId="1D5B944E">
      <w:pPr>
        <w:snapToGrid w:val="0"/>
        <w:spacing w:beforeLines="50" w:line="360" w:lineRule="auto"/>
      </w:pPr>
      <w:r>
        <w:t xml:space="preserve">A.1 </w:t>
      </w:r>
      <w:r>
        <w:rPr>
          <w:rFonts w:hint="eastAsia"/>
        </w:rPr>
        <w:t>校准前的检查</w:t>
      </w:r>
    </w:p>
    <w:p w14:paraId="2F9111C1">
      <w:pPr>
        <w:spacing w:line="360" w:lineRule="auto"/>
        <w:rPr>
          <w:u w:val="single"/>
        </w:rPr>
      </w:pPr>
      <w:r>
        <w:rPr>
          <w:color w:val="000000"/>
        </w:rPr>
        <w:t>A.2</w:t>
      </w:r>
      <w:r>
        <w:rPr>
          <w:rFonts w:hint="eastAsia"/>
          <w:color w:val="000000"/>
        </w:rPr>
        <w:t>测量结果误差</w:t>
      </w:r>
    </w:p>
    <w:tbl>
      <w:tblPr>
        <w:tblStyle w:val="2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1971"/>
        <w:gridCol w:w="1971"/>
        <w:gridCol w:w="1971"/>
      </w:tblGrid>
      <w:tr w14:paraId="3D85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2" w:type="dxa"/>
            <w:vAlign w:val="center"/>
          </w:tcPr>
          <w:p w14:paraId="05B3AF7D">
            <w:pPr>
              <w:spacing w:line="360" w:lineRule="auto"/>
              <w:jc w:val="center"/>
            </w:pPr>
            <w:r>
              <w:t>序号</w:t>
            </w:r>
          </w:p>
        </w:tc>
        <w:tc>
          <w:tcPr>
            <w:tcW w:w="1971" w:type="dxa"/>
            <w:vAlign w:val="center"/>
          </w:tcPr>
          <w:p w14:paraId="438D0C7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71" w:type="dxa"/>
            <w:vAlign w:val="center"/>
          </w:tcPr>
          <w:p w14:paraId="167A4D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971" w:type="dxa"/>
            <w:vAlign w:val="center"/>
          </w:tcPr>
          <w:p w14:paraId="13F0C14A">
            <w:pPr>
              <w:spacing w:line="360" w:lineRule="auto"/>
              <w:jc w:val="center"/>
            </w:pPr>
            <w:r>
              <w:t>3</w:t>
            </w:r>
          </w:p>
        </w:tc>
      </w:tr>
      <w:tr w14:paraId="5213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2" w:type="dxa"/>
            <w:vAlign w:val="center"/>
          </w:tcPr>
          <w:p w14:paraId="32DAB1A0">
            <w:pPr>
              <w:spacing w:line="360" w:lineRule="auto"/>
              <w:jc w:val="center"/>
            </w:pPr>
            <w:r>
              <w:t>标准</w:t>
            </w:r>
            <w:r>
              <w:rPr>
                <w:rFonts w:hint="eastAsia"/>
              </w:rPr>
              <w:t>值</w:t>
            </w:r>
            <w:r>
              <w:t>(</w:t>
            </w:r>
            <w:r>
              <w:rPr>
                <w:rFonts w:hint="eastAsia"/>
                <w:color w:val="000000"/>
              </w:rPr>
              <w:t>g/cm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971" w:type="dxa"/>
            <w:vAlign w:val="center"/>
          </w:tcPr>
          <w:p w14:paraId="20D56C38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284084A2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3FF7C923">
            <w:pPr>
              <w:spacing w:line="360" w:lineRule="auto"/>
              <w:jc w:val="center"/>
            </w:pPr>
          </w:p>
        </w:tc>
      </w:tr>
      <w:tr w14:paraId="6142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2" w:type="dxa"/>
            <w:vMerge w:val="restart"/>
            <w:vAlign w:val="center"/>
          </w:tcPr>
          <w:p w14:paraId="0D391C16">
            <w:pPr>
              <w:spacing w:line="360" w:lineRule="auto"/>
              <w:jc w:val="center"/>
            </w:pPr>
            <w:r>
              <w:rPr>
                <w:rFonts w:hint="eastAsia"/>
              </w:rPr>
              <w:t>测量值</w:t>
            </w:r>
            <w:r>
              <w:t>(</w:t>
            </w:r>
            <w:r>
              <w:rPr>
                <w:rFonts w:hint="eastAsia"/>
                <w:color w:val="000000"/>
              </w:rPr>
              <w:t>g/cm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971" w:type="dxa"/>
            <w:vAlign w:val="center"/>
          </w:tcPr>
          <w:p w14:paraId="214FCAC4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1A9B6022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70DCE1CF">
            <w:pPr>
              <w:spacing w:line="360" w:lineRule="auto"/>
              <w:jc w:val="center"/>
            </w:pPr>
          </w:p>
        </w:tc>
      </w:tr>
      <w:tr w14:paraId="220F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2" w:type="dxa"/>
            <w:vMerge w:val="continue"/>
            <w:vAlign w:val="center"/>
          </w:tcPr>
          <w:p w14:paraId="5171F9A5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5CFBE9D1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3A1269B9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73CA2654">
            <w:pPr>
              <w:spacing w:line="360" w:lineRule="auto"/>
              <w:jc w:val="center"/>
            </w:pPr>
          </w:p>
        </w:tc>
      </w:tr>
      <w:tr w14:paraId="78CD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2" w:type="dxa"/>
            <w:vMerge w:val="continue"/>
            <w:vAlign w:val="center"/>
          </w:tcPr>
          <w:p w14:paraId="36ADA885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0FA29A2C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5EA180B5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621F81AE">
            <w:pPr>
              <w:spacing w:line="360" w:lineRule="auto"/>
              <w:jc w:val="center"/>
            </w:pPr>
          </w:p>
        </w:tc>
      </w:tr>
      <w:tr w14:paraId="72F1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2" w:type="dxa"/>
            <w:vAlign w:val="center"/>
          </w:tcPr>
          <w:p w14:paraId="1F33F5BE">
            <w:pPr>
              <w:spacing w:line="360" w:lineRule="auto"/>
              <w:jc w:val="center"/>
            </w:pPr>
            <w:r>
              <w:t>平均值(</w:t>
            </w:r>
            <w:r>
              <w:rPr>
                <w:rFonts w:hint="eastAsia"/>
                <w:color w:val="000000"/>
              </w:rPr>
              <w:t>g/cm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971" w:type="dxa"/>
            <w:vAlign w:val="center"/>
          </w:tcPr>
          <w:p w14:paraId="6A91F200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3B29074B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05D9A482">
            <w:pPr>
              <w:spacing w:line="360" w:lineRule="auto"/>
              <w:jc w:val="center"/>
            </w:pPr>
          </w:p>
        </w:tc>
      </w:tr>
      <w:tr w14:paraId="4776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42" w:type="dxa"/>
            <w:vAlign w:val="center"/>
          </w:tcPr>
          <w:p w14:paraId="3663116A">
            <w:pPr>
              <w:spacing w:line="360" w:lineRule="auto"/>
              <w:jc w:val="center"/>
            </w:pPr>
            <w:r>
              <w:t>相对误差</w:t>
            </w:r>
          </w:p>
        </w:tc>
        <w:tc>
          <w:tcPr>
            <w:tcW w:w="1971" w:type="dxa"/>
            <w:vAlign w:val="center"/>
          </w:tcPr>
          <w:p w14:paraId="7846C99D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649CFE50">
            <w:pPr>
              <w:spacing w:line="360" w:lineRule="auto"/>
              <w:jc w:val="center"/>
            </w:pPr>
          </w:p>
        </w:tc>
        <w:tc>
          <w:tcPr>
            <w:tcW w:w="1971" w:type="dxa"/>
            <w:vAlign w:val="center"/>
          </w:tcPr>
          <w:p w14:paraId="3C82BA70">
            <w:pPr>
              <w:spacing w:line="360" w:lineRule="auto"/>
              <w:jc w:val="center"/>
            </w:pPr>
          </w:p>
        </w:tc>
      </w:tr>
    </w:tbl>
    <w:p w14:paraId="25EF9D69">
      <w:pPr>
        <w:spacing w:beforeLines="50" w:afterLines="50" w:line="360" w:lineRule="auto"/>
        <w:rPr>
          <w:color w:val="000000"/>
        </w:rPr>
      </w:pPr>
      <w:r>
        <w:rPr>
          <w:color w:val="000000"/>
        </w:rPr>
        <w:t>A.3 测量重复性</w:t>
      </w:r>
    </w:p>
    <w:tbl>
      <w:tblPr>
        <w:tblStyle w:val="22"/>
        <w:tblW w:w="877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8"/>
      </w:tblGrid>
      <w:tr w14:paraId="1D6B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0" w:type="dxa"/>
            <w:vAlign w:val="center"/>
          </w:tcPr>
          <w:p w14:paraId="54D27761">
            <w:pPr>
              <w:spacing w:line="360" w:lineRule="auto"/>
              <w:jc w:val="center"/>
            </w:pPr>
            <w:r>
              <w:t>序号</w:t>
            </w:r>
          </w:p>
        </w:tc>
        <w:tc>
          <w:tcPr>
            <w:tcW w:w="667" w:type="dxa"/>
            <w:vAlign w:val="center"/>
          </w:tcPr>
          <w:p w14:paraId="2458D4AB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667" w:type="dxa"/>
            <w:vAlign w:val="center"/>
          </w:tcPr>
          <w:p w14:paraId="53B4A60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667" w:type="dxa"/>
            <w:vAlign w:val="center"/>
          </w:tcPr>
          <w:p w14:paraId="06571AB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667" w:type="dxa"/>
            <w:vAlign w:val="center"/>
          </w:tcPr>
          <w:p w14:paraId="7F059B4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667" w:type="dxa"/>
            <w:vAlign w:val="center"/>
          </w:tcPr>
          <w:p w14:paraId="59F2224D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67" w:type="dxa"/>
            <w:vAlign w:val="center"/>
          </w:tcPr>
          <w:p w14:paraId="413CA354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67" w:type="dxa"/>
            <w:vAlign w:val="center"/>
          </w:tcPr>
          <w:p w14:paraId="0EF4B89C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67" w:type="dxa"/>
            <w:vAlign w:val="center"/>
          </w:tcPr>
          <w:p w14:paraId="712AE10F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67" w:type="dxa"/>
            <w:vAlign w:val="center"/>
          </w:tcPr>
          <w:p w14:paraId="6B96FD2F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68" w:type="dxa"/>
            <w:vAlign w:val="center"/>
          </w:tcPr>
          <w:p w14:paraId="08A64972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 w14:paraId="4B81C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0" w:type="dxa"/>
            <w:vAlign w:val="center"/>
          </w:tcPr>
          <w:p w14:paraId="626855B7">
            <w:pPr>
              <w:spacing w:line="360" w:lineRule="auto"/>
              <w:jc w:val="center"/>
            </w:pPr>
            <w:r>
              <w:rPr>
                <w:rFonts w:hint="eastAsia"/>
              </w:rPr>
              <w:t>测量值</w:t>
            </w:r>
            <w:r>
              <w:t>(</w:t>
            </w:r>
            <w:r>
              <w:rPr>
                <w:rFonts w:hint="eastAsia"/>
                <w:color w:val="000000"/>
              </w:rPr>
              <w:t>g/cm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667" w:type="dxa"/>
            <w:vAlign w:val="center"/>
          </w:tcPr>
          <w:p w14:paraId="365D1447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73D8B9EF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1CD39CB6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474B410C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3DCB1E10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1BB87D42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5120EF3D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1AA66A73">
            <w:pPr>
              <w:spacing w:line="360" w:lineRule="auto"/>
              <w:jc w:val="center"/>
            </w:pPr>
          </w:p>
        </w:tc>
        <w:tc>
          <w:tcPr>
            <w:tcW w:w="667" w:type="dxa"/>
            <w:vAlign w:val="center"/>
          </w:tcPr>
          <w:p w14:paraId="2BB3C635">
            <w:pPr>
              <w:spacing w:line="360" w:lineRule="auto"/>
              <w:jc w:val="center"/>
            </w:pPr>
          </w:p>
        </w:tc>
        <w:tc>
          <w:tcPr>
            <w:tcW w:w="668" w:type="dxa"/>
            <w:vAlign w:val="center"/>
          </w:tcPr>
          <w:p w14:paraId="3E9B6C65">
            <w:pPr>
              <w:spacing w:line="360" w:lineRule="auto"/>
              <w:jc w:val="center"/>
            </w:pPr>
          </w:p>
        </w:tc>
      </w:tr>
    </w:tbl>
    <w:p w14:paraId="568D1E00">
      <w:pPr>
        <w:spacing w:line="360" w:lineRule="auto"/>
        <w:ind w:firstLine="480" w:firstLineChars="200"/>
        <w:rPr>
          <w:u w:val="single"/>
        </w:rPr>
      </w:pPr>
      <w:r>
        <w:rPr>
          <w:color w:val="000000"/>
        </w:rPr>
        <w:t>测量</w:t>
      </w:r>
      <w:r>
        <w:t>重复性：</w:t>
      </w:r>
      <w:r>
        <w:rPr>
          <w:u w:val="single"/>
        </w:rPr>
        <w:t xml:space="preserve">             </w:t>
      </w:r>
    </w:p>
    <w:p w14:paraId="36E872CA">
      <w:pPr>
        <w:spacing w:line="360" w:lineRule="auto"/>
        <w:rPr>
          <w:u w:val="single"/>
        </w:rPr>
      </w:pPr>
      <w:r>
        <w:rPr>
          <w:color w:val="000000"/>
        </w:rPr>
        <w:t>A.4</w:t>
      </w:r>
      <w:r>
        <w:rPr>
          <w:rFonts w:hint="eastAsia" w:ascii="宋体" w:hAnsi="宋体"/>
        </w:rPr>
        <w:t>辐射防护性能</w:t>
      </w:r>
    </w:p>
    <w:p w14:paraId="1C71DDD4">
      <w:pPr>
        <w:spacing w:line="360" w:lineRule="auto"/>
        <w:ind w:firstLine="480" w:firstLineChars="200"/>
        <w:rPr>
          <w:u w:val="single"/>
        </w:rPr>
      </w:pPr>
      <w:r>
        <w:t>空气比释动能率：</w:t>
      </w:r>
      <w:r>
        <w:rPr>
          <w:u w:val="single"/>
        </w:rPr>
        <w:t xml:space="preserve">         </w:t>
      </w:r>
      <w:r>
        <w:rPr>
          <w:rFonts w:hint="eastAsia"/>
          <w:u w:val="single"/>
        </w:rPr>
        <w:t xml:space="preserve">  </w:t>
      </w:r>
    </w:p>
    <w:p w14:paraId="405DC1D5">
      <w:pPr>
        <w:spacing w:line="500" w:lineRule="exact"/>
      </w:pPr>
    </w:p>
    <w:p w14:paraId="59FA63FB">
      <w:pPr>
        <w:spacing w:line="500" w:lineRule="exact"/>
      </w:pPr>
    </w:p>
    <w:p w14:paraId="1A266927">
      <w:pPr>
        <w:pStyle w:val="2"/>
        <w:jc w:val="center"/>
        <w:rPr>
          <w:rFonts w:ascii="Times New Roman" w:hAnsi="Times New Roman"/>
          <w:sz w:val="28"/>
          <w:szCs w:val="28"/>
        </w:rPr>
      </w:pPr>
      <w:bookmarkStart w:id="41" w:name="_Toc147602988"/>
      <w:bookmarkStart w:id="42" w:name="_Toc150676755"/>
      <w:r>
        <w:rPr>
          <w:rFonts w:ascii="Times New Roman" w:hAnsi="Times New Roman"/>
          <w:sz w:val="28"/>
          <w:szCs w:val="28"/>
        </w:rPr>
        <w:t>附录B 校准证书（内页）格式</w:t>
      </w:r>
      <w:bookmarkEnd w:id="41"/>
      <w:bookmarkEnd w:id="42"/>
    </w:p>
    <w:p w14:paraId="376B468D">
      <w:pPr>
        <w:snapToGrid w:val="0"/>
        <w:rPr>
          <w:color w:val="000000"/>
          <w:sz w:val="28"/>
          <w:szCs w:val="28"/>
        </w:rPr>
      </w:pPr>
    </w:p>
    <w:p w14:paraId="3F51CC75">
      <w:pPr>
        <w:snapToGrid w:val="0"/>
        <w:rPr>
          <w:color w:val="000000"/>
        </w:rPr>
      </w:pPr>
      <w:r>
        <w:rPr>
          <w:color w:val="000000"/>
        </w:rPr>
        <w:t>温度：    ℃             　 相对湿度:      %</w:t>
      </w:r>
    </w:p>
    <w:p w14:paraId="2FFC5A8E">
      <w:pPr>
        <w:snapToGrid w:val="0"/>
        <w:ind w:firstLine="980" w:firstLineChars="350"/>
        <w:rPr>
          <w:color w:val="000000"/>
          <w:sz w:val="28"/>
        </w:rPr>
      </w:pPr>
    </w:p>
    <w:p w14:paraId="0D47B223">
      <w:pPr>
        <w:snapToGrid w:val="0"/>
        <w:spacing w:line="360" w:lineRule="auto"/>
        <w:rPr>
          <w:color w:val="000000"/>
        </w:rPr>
      </w:pPr>
      <w:r>
        <w:rPr>
          <w:bCs/>
          <w:color w:val="000000"/>
        </w:rPr>
        <w:t>B.1 外观</w:t>
      </w:r>
      <w:r>
        <w:rPr>
          <w:color w:val="000000"/>
        </w:rPr>
        <w:t>及功能性检查：</w:t>
      </w:r>
    </w:p>
    <w:p w14:paraId="1F75F1A2">
      <w:pPr>
        <w:snapToGrid w:val="0"/>
        <w:spacing w:afterLines="50"/>
        <w:rPr>
          <w:color w:val="000000"/>
        </w:rPr>
      </w:pPr>
      <w:r>
        <w:rPr>
          <w:color w:val="000000"/>
        </w:rPr>
        <w:t>B.2 校准结果：</w:t>
      </w:r>
    </w:p>
    <w:tbl>
      <w:tblPr>
        <w:tblStyle w:val="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980"/>
        <w:gridCol w:w="2826"/>
      </w:tblGrid>
      <w:tr w14:paraId="29A7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8" w:type="dxa"/>
            <w:vAlign w:val="center"/>
          </w:tcPr>
          <w:p w14:paraId="133025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</w:tc>
        <w:tc>
          <w:tcPr>
            <w:tcW w:w="1980" w:type="dxa"/>
            <w:vAlign w:val="center"/>
          </w:tcPr>
          <w:p w14:paraId="300DD9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计量性能</w:t>
            </w:r>
          </w:p>
        </w:tc>
        <w:tc>
          <w:tcPr>
            <w:tcW w:w="2826" w:type="dxa"/>
            <w:vAlign w:val="center"/>
          </w:tcPr>
          <w:p w14:paraId="0B7D6F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结果</w:t>
            </w:r>
          </w:p>
        </w:tc>
      </w:tr>
      <w:tr w14:paraId="36D80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8" w:type="dxa"/>
            <w:vAlign w:val="center"/>
          </w:tcPr>
          <w:p w14:paraId="25EF77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B2.1</w:t>
            </w:r>
          </w:p>
        </w:tc>
        <w:tc>
          <w:tcPr>
            <w:tcW w:w="1980" w:type="dxa"/>
            <w:vAlign w:val="center"/>
          </w:tcPr>
          <w:p w14:paraId="6CB75A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测量</w:t>
            </w:r>
            <w:r>
              <w:rPr>
                <w:rFonts w:hint="eastAsia"/>
                <w:color w:val="000000"/>
              </w:rPr>
              <w:t>结果</w:t>
            </w:r>
            <w:r>
              <w:rPr>
                <w:color w:val="000000"/>
              </w:rPr>
              <w:t>误差</w:t>
            </w:r>
          </w:p>
        </w:tc>
        <w:tc>
          <w:tcPr>
            <w:tcW w:w="2826" w:type="dxa"/>
            <w:vAlign w:val="center"/>
          </w:tcPr>
          <w:p w14:paraId="68B9ABCF">
            <w:pPr>
              <w:jc w:val="center"/>
              <w:rPr>
                <w:color w:val="000000"/>
              </w:rPr>
            </w:pPr>
          </w:p>
        </w:tc>
      </w:tr>
      <w:tr w14:paraId="3E261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8" w:type="dxa"/>
            <w:vAlign w:val="center"/>
          </w:tcPr>
          <w:p w14:paraId="27C301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B2.2</w:t>
            </w:r>
          </w:p>
        </w:tc>
        <w:tc>
          <w:tcPr>
            <w:tcW w:w="1980" w:type="dxa"/>
            <w:vAlign w:val="center"/>
          </w:tcPr>
          <w:p w14:paraId="681398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测量重复性</w:t>
            </w:r>
          </w:p>
        </w:tc>
        <w:tc>
          <w:tcPr>
            <w:tcW w:w="2826" w:type="dxa"/>
            <w:vAlign w:val="center"/>
          </w:tcPr>
          <w:p w14:paraId="25A8935C">
            <w:pPr>
              <w:jc w:val="center"/>
              <w:rPr>
                <w:color w:val="000000"/>
              </w:rPr>
            </w:pPr>
          </w:p>
        </w:tc>
      </w:tr>
      <w:tr w14:paraId="231E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8" w:type="dxa"/>
            <w:vAlign w:val="center"/>
          </w:tcPr>
          <w:p w14:paraId="08774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B2.3</w:t>
            </w:r>
          </w:p>
        </w:tc>
        <w:tc>
          <w:tcPr>
            <w:tcW w:w="1980" w:type="dxa"/>
            <w:vAlign w:val="center"/>
          </w:tcPr>
          <w:p w14:paraId="5567E9C5"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/>
              </w:rPr>
              <w:t>辐射防护性能</w:t>
            </w:r>
          </w:p>
        </w:tc>
        <w:tc>
          <w:tcPr>
            <w:tcW w:w="2826" w:type="dxa"/>
            <w:vAlign w:val="center"/>
          </w:tcPr>
          <w:p w14:paraId="7E51124D">
            <w:pPr>
              <w:rPr>
                <w:color w:val="000000"/>
              </w:rPr>
            </w:pPr>
          </w:p>
        </w:tc>
      </w:tr>
    </w:tbl>
    <w:p w14:paraId="5131E6FA">
      <w:pPr>
        <w:snapToGrid w:val="0"/>
        <w:rPr>
          <w:color w:val="000000"/>
        </w:rPr>
      </w:pPr>
    </w:p>
    <w:p w14:paraId="4EC6F113">
      <w:pPr>
        <w:snapToGrid w:val="0"/>
        <w:rPr>
          <w:color w:val="000000"/>
        </w:rPr>
      </w:pPr>
      <w:r>
        <w:rPr>
          <w:color w:val="000000"/>
        </w:rPr>
        <w:t>B.3 校准结果的不确定度</w:t>
      </w:r>
    </w:p>
    <w:p w14:paraId="0DF9122F">
      <w:pPr>
        <w:snapToGrid w:val="0"/>
        <w:rPr>
          <w:color w:val="000000"/>
        </w:rPr>
      </w:pPr>
    </w:p>
    <w:p w14:paraId="2E7216A3">
      <w:pPr>
        <w:snapToGrid w:val="0"/>
        <w:rPr>
          <w:color w:val="000000"/>
        </w:rPr>
      </w:pPr>
    </w:p>
    <w:p w14:paraId="013352B3">
      <w:pPr>
        <w:snapToGrid w:val="0"/>
        <w:rPr>
          <w:color w:val="000000"/>
        </w:rPr>
      </w:pPr>
    </w:p>
    <w:p w14:paraId="768F7C34">
      <w:pPr>
        <w:snapToGrid w:val="0"/>
        <w:rPr>
          <w:color w:val="000000"/>
        </w:rPr>
      </w:pPr>
    </w:p>
    <w:p w14:paraId="2AE16E4C">
      <w:pPr>
        <w:rPr>
          <w:color w:val="000000"/>
        </w:rPr>
        <w:sectPr>
          <w:footerReference r:id="rId12" w:type="default"/>
          <w:pgSz w:w="11906" w:h="16838"/>
          <w:pgMar w:top="1440" w:right="1797" w:bottom="1440" w:left="1797" w:header="851" w:footer="992" w:gutter="0"/>
          <w:pgNumType w:start="5"/>
          <w:cols w:space="720" w:num="1"/>
          <w:docGrid w:type="linesAndChars" w:linePitch="312" w:charSpace="0"/>
        </w:sectPr>
      </w:pPr>
    </w:p>
    <w:p w14:paraId="5CAA274C">
      <w:pPr>
        <w:jc w:val="center"/>
        <w:rPr>
          <w:sz w:val="28"/>
          <w:szCs w:val="28"/>
        </w:rPr>
      </w:pPr>
      <w:bookmarkStart w:id="43" w:name="_Toc150676756"/>
      <w:bookmarkStart w:id="44" w:name="_Toc147602989"/>
      <w:r>
        <w:rPr>
          <w:sz w:val="28"/>
          <w:szCs w:val="28"/>
        </w:rPr>
        <w:t>附录C分析仪示值误差</w:t>
      </w:r>
      <w:bookmarkEnd w:id="43"/>
      <w:bookmarkEnd w:id="44"/>
      <w:r>
        <w:rPr>
          <w:sz w:val="28"/>
          <w:szCs w:val="28"/>
        </w:rPr>
        <w:t>的测量不确定度评定示例</w:t>
      </w:r>
    </w:p>
    <w:p w14:paraId="4FC2F8E2">
      <w:pPr>
        <w:spacing w:line="360" w:lineRule="auto"/>
      </w:pPr>
      <w:r>
        <w:t>C.1</w:t>
      </w:r>
      <w:r>
        <w:rPr>
          <w:rFonts w:hint="eastAsia"/>
        </w:rPr>
        <w:t>概述</w:t>
      </w:r>
    </w:p>
    <w:p w14:paraId="48326A22">
      <w:pPr>
        <w:spacing w:line="360" w:lineRule="auto"/>
        <w:rPr>
          <w:color w:val="000000"/>
        </w:rPr>
      </w:pPr>
      <w:r>
        <w:t>C.1</w:t>
      </w:r>
      <w:r>
        <w:rPr>
          <w:rFonts w:hint="eastAsia"/>
        </w:rPr>
        <w:t>.1环境条件：</w:t>
      </w:r>
      <w:r>
        <w:rPr>
          <w:rFonts w:hAnsi="宋体"/>
          <w:color w:val="000000"/>
        </w:rPr>
        <w:t>温度：（</w:t>
      </w:r>
      <w:r>
        <w:rPr>
          <w:color w:val="000000"/>
        </w:rPr>
        <w:t>15</w:t>
      </w:r>
      <w:r>
        <w:rPr>
          <w:rFonts w:hAnsi="宋体"/>
          <w:color w:val="000000"/>
        </w:rPr>
        <w:t>～</w:t>
      </w:r>
      <w:r>
        <w:rPr>
          <w:color w:val="000000"/>
        </w:rPr>
        <w:t>35</w:t>
      </w:r>
      <w:r>
        <w:rPr>
          <w:rFonts w:hAnsi="宋体"/>
          <w:color w:val="000000"/>
        </w:rPr>
        <w:t>）</w:t>
      </w:r>
      <w:r>
        <w:rPr>
          <w:rFonts w:ascii="宋体" w:hAnsi="宋体"/>
          <w:color w:val="000000"/>
        </w:rPr>
        <w:t>℃</w:t>
      </w:r>
      <w:r>
        <w:rPr>
          <w:rFonts w:hint="eastAsia" w:hAnsi="宋体"/>
          <w:color w:val="000000"/>
        </w:rPr>
        <w:t>，</w:t>
      </w:r>
      <w:r>
        <w:rPr>
          <w:rFonts w:hAnsi="宋体"/>
          <w:color w:val="000000"/>
        </w:rPr>
        <w:t>相对湿度：</w:t>
      </w:r>
      <w:r>
        <w:rPr>
          <w:rFonts w:ascii="宋体" w:hAnsi="宋体"/>
          <w:color w:val="000000"/>
        </w:rPr>
        <w:t>≤</w:t>
      </w:r>
      <w:r>
        <w:rPr>
          <w:color w:val="000000"/>
        </w:rPr>
        <w:t>85%</w:t>
      </w:r>
      <w:r>
        <w:rPr>
          <w:rFonts w:hAnsi="宋体"/>
          <w:color w:val="000000"/>
        </w:rPr>
        <w:t>。</w:t>
      </w:r>
    </w:p>
    <w:p w14:paraId="24C9578D">
      <w:pPr>
        <w:spacing w:line="360" w:lineRule="auto"/>
      </w:pPr>
      <w:r>
        <w:t>C.1</w:t>
      </w:r>
      <w:r>
        <w:rPr>
          <w:rFonts w:hint="eastAsia"/>
        </w:rPr>
        <w:t>.2测量标准：</w:t>
      </w:r>
      <w:r>
        <w:rPr>
          <w:rFonts w:hint="eastAsia"/>
          <w:color w:val="000000"/>
        </w:rPr>
        <w:t>BMD测量范围：（0</w:t>
      </w:r>
      <w:r>
        <w:rPr>
          <w:color w:val="000000"/>
        </w:rPr>
        <w:t>.2~</w:t>
      </w:r>
      <w:r>
        <w:rPr>
          <w:rFonts w:hint="eastAsia"/>
          <w:color w:val="000000"/>
        </w:rPr>
        <w:t>1.0）g/cm</w:t>
      </w:r>
      <w:r>
        <w:rPr>
          <w:rFonts w:hint="eastAsia"/>
          <w:color w:val="000000"/>
          <w:vertAlign w:val="superscript"/>
        </w:rPr>
        <w:t>2</w:t>
      </w:r>
      <w:r>
        <w:rPr>
          <w:rFonts w:hint="eastAsia"/>
        </w:rPr>
        <w:t>；相对误差</w:t>
      </w:r>
      <w:r>
        <w:rPr>
          <w:rFonts w:hint="eastAsia"/>
          <w:color w:val="000000"/>
        </w:rPr>
        <w:t>为±</w:t>
      </w:r>
      <w:r>
        <w:rPr>
          <w:color w:val="000000"/>
        </w:rPr>
        <w:t>5</w:t>
      </w:r>
      <w:r>
        <w:rPr>
          <w:rFonts w:hint="eastAsia"/>
          <w:color w:val="000000"/>
        </w:rPr>
        <w:t>%</w:t>
      </w:r>
    </w:p>
    <w:p w14:paraId="523A1F61">
      <w:pPr>
        <w:snapToGrid w:val="0"/>
        <w:spacing w:line="360" w:lineRule="auto"/>
      </w:pPr>
      <w:r>
        <w:t>C.1</w:t>
      </w:r>
      <w:r>
        <w:rPr>
          <w:rFonts w:hint="eastAsia"/>
        </w:rPr>
        <w:t>.3测量过程：按照使用说明书要求对骨密度仪质控体模校正。待稳定后，</w:t>
      </w:r>
      <w:r>
        <w:rPr>
          <w:color w:val="000000"/>
        </w:rPr>
        <w:t>在正常使用条件下，对每一个骨筒样品测量三次，三次取平均值</w:t>
      </w:r>
      <w:r>
        <w:rPr>
          <w:rFonts w:hint="eastAsia"/>
        </w:rPr>
        <w:t>，重复测量3次，记录骨密度仪示值并计算示值误差。</w:t>
      </w:r>
    </w:p>
    <w:p w14:paraId="7DE6371A">
      <w:pPr>
        <w:spacing w:line="360" w:lineRule="auto"/>
      </w:pPr>
      <w:r>
        <w:t>C.</w:t>
      </w:r>
      <w:r>
        <w:rPr>
          <w:rFonts w:hint="eastAsia"/>
        </w:rPr>
        <w:t>2</w:t>
      </w:r>
      <w:r>
        <w:t>测量模型</w:t>
      </w:r>
    </w:p>
    <w:p w14:paraId="1D69F5A3">
      <w:pPr>
        <w:autoSpaceDE w:val="0"/>
        <w:autoSpaceDN w:val="0"/>
        <w:adjustRightInd w:val="0"/>
        <w:spacing w:line="360" w:lineRule="auto"/>
        <w:jc w:val="center"/>
      </w:pPr>
      <w:r>
        <w:t xml:space="preserve">                  </w:t>
      </w:r>
      <w:r>
        <w:rPr>
          <w:position w:val="-36"/>
        </w:rPr>
        <w:object>
          <v:shape id="_x0000_i1032" o:spt="75" type="#_x0000_t75" style="height:36pt;width:95.45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9">
            <o:LockedField>false</o:LockedField>
          </o:OLEObject>
        </w:object>
      </w:r>
      <w:r>
        <w:t xml:space="preserve">                </w:t>
      </w:r>
      <w:r>
        <w:rPr>
          <w:rFonts w:hint="eastAsia"/>
        </w:rPr>
        <w:t>（C</w:t>
      </w:r>
      <w:r>
        <w:t>.1</w:t>
      </w:r>
      <w:r>
        <w:rPr>
          <w:rFonts w:hint="eastAsia"/>
        </w:rPr>
        <w:t>）</w:t>
      </w:r>
    </w:p>
    <w:p w14:paraId="7D2E125C">
      <w:pPr>
        <w:autoSpaceDE w:val="0"/>
        <w:autoSpaceDN w:val="0"/>
        <w:adjustRightInd w:val="0"/>
        <w:spacing w:line="360" w:lineRule="auto"/>
        <w:jc w:val="left"/>
        <w:rPr>
          <w:rFonts w:hAnsi="宋体"/>
          <w:color w:val="000000"/>
        </w:rPr>
      </w:pPr>
      <w:r>
        <w:rPr>
          <w:rFonts w:hAnsi="宋体"/>
          <w:color w:val="000000"/>
        </w:rPr>
        <w:t>式中：</w:t>
      </w:r>
      <w:r>
        <w:rPr>
          <w:color w:val="000000"/>
          <w:position w:val="-6"/>
        </w:rPr>
        <w:object>
          <v:shape id="_x0000_i1033" o:spt="75" type="#_x0000_t75" style="height:14.25pt;width:20.1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31">
            <o:LockedField>false</o:LockedField>
          </o:OLEObject>
        </w:object>
      </w:r>
      <w:r>
        <w:rPr>
          <w:color w:val="000000"/>
        </w:rPr>
        <w:t>—</w:t>
      </w:r>
      <w:r>
        <w:rPr>
          <w:rFonts w:hAnsi="宋体"/>
        </w:rPr>
        <w:t>示值误差</w:t>
      </w:r>
      <w:r>
        <w:rPr>
          <w:rFonts w:hAnsi="宋体"/>
          <w:color w:val="000000"/>
        </w:rPr>
        <w:t>，</w:t>
      </w:r>
      <w:r>
        <w:rPr>
          <w:color w:val="000000"/>
        </w:rPr>
        <w:t>%</w:t>
      </w:r>
      <w:r>
        <w:rPr>
          <w:rFonts w:hAnsi="宋体"/>
          <w:color w:val="000000"/>
        </w:rPr>
        <w:t>；</w:t>
      </w:r>
    </w:p>
    <w:p w14:paraId="58843DB6"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color w:val="000000"/>
          <w:highlight w:val="yellow"/>
        </w:rPr>
      </w:pPr>
      <w:r>
        <w:rPr>
          <w:color w:val="000000"/>
          <w:position w:val="-6"/>
        </w:rPr>
        <w:object>
          <v:shape id="_x0000_i1034" o:spt="75" type="#_x0000_t75" style="height:21.75pt;width:12.55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33">
            <o:LockedField>false</o:LockedField>
          </o:OLEObject>
        </w:object>
      </w:r>
      <w:r>
        <w:rPr>
          <w:color w:val="000000"/>
        </w:rPr>
        <w:t xml:space="preserve"> —</w:t>
      </w:r>
      <w:r>
        <w:rPr>
          <w:rFonts w:hint="eastAsia"/>
          <w:color w:val="000000"/>
        </w:rPr>
        <w:t>3次</w:t>
      </w:r>
      <w:r>
        <w:rPr>
          <w:rFonts w:hAnsi="宋体"/>
          <w:color w:val="000000"/>
        </w:rPr>
        <w:t>测量平均值，</w:t>
      </w:r>
      <w:r>
        <w:rPr>
          <w:rFonts w:hint="eastAsia"/>
          <w:color w:val="000000"/>
        </w:rPr>
        <w:t>g/cm</w:t>
      </w:r>
      <w:r>
        <w:rPr>
          <w:rFonts w:hint="eastAsia"/>
          <w:color w:val="000000"/>
          <w:vertAlign w:val="superscript"/>
        </w:rPr>
        <w:t>2</w:t>
      </w:r>
      <w:r>
        <w:rPr>
          <w:rFonts w:hAnsi="宋体"/>
          <w:color w:val="000000"/>
        </w:rPr>
        <w:t>；</w:t>
      </w:r>
    </w:p>
    <w:p w14:paraId="41A9DF5E"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color w:val="000000"/>
        </w:rPr>
      </w:pPr>
      <w:r>
        <w:rPr>
          <w:i/>
        </w:rPr>
        <w:t>C</w:t>
      </w:r>
      <w:r>
        <w:rPr>
          <w:vertAlign w:val="subscript"/>
        </w:rPr>
        <w:t xml:space="preserve">s  </w:t>
      </w:r>
      <w:r>
        <w:rPr>
          <w:color w:val="000000"/>
        </w:rPr>
        <w:t>—</w:t>
      </w:r>
      <w:r>
        <w:rPr>
          <w:rFonts w:hAnsi="宋体"/>
          <w:color w:val="000000"/>
        </w:rPr>
        <w:t>标准</w:t>
      </w:r>
      <w:r>
        <w:rPr>
          <w:rFonts w:hint="eastAsia" w:hAnsi="宋体"/>
          <w:color w:val="000000"/>
        </w:rPr>
        <w:t>值</w:t>
      </w:r>
      <w:r>
        <w:rPr>
          <w:rFonts w:hAnsi="宋体"/>
          <w:color w:val="000000"/>
        </w:rPr>
        <w:t>，</w:t>
      </w:r>
      <w:r>
        <w:rPr>
          <w:rFonts w:hint="eastAsia"/>
          <w:color w:val="000000"/>
        </w:rPr>
        <w:t>g/cm</w:t>
      </w:r>
      <w:r>
        <w:rPr>
          <w:rFonts w:hint="eastAsia"/>
          <w:color w:val="000000"/>
          <w:vertAlign w:val="superscript"/>
        </w:rPr>
        <w:t>2</w:t>
      </w:r>
      <w:r>
        <w:rPr>
          <w:rFonts w:hint="eastAsia" w:hAnsi="宋体"/>
          <w:color w:val="000000"/>
        </w:rPr>
        <w:t>。</w:t>
      </w:r>
    </w:p>
    <w:p w14:paraId="7BE68ED2">
      <w:pPr>
        <w:wordWrap w:val="0"/>
        <w:adjustRightInd w:val="0"/>
        <w:spacing w:line="360" w:lineRule="auto"/>
        <w:ind w:firstLine="480" w:firstLineChars="200"/>
      </w:pPr>
      <w:r>
        <w:t>灵敏系数：</w:t>
      </w:r>
      <w:r>
        <w:rPr>
          <w:position w:val="-30"/>
        </w:rPr>
        <w:object>
          <v:shape id="_x0000_i1035" o:spt="75" type="#_x0000_t75" style="height:31.8pt;width:85.4pt;" o:ole="t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35">
            <o:LockedField>false</o:LockedField>
          </o:OLEObject>
        </w:object>
      </w:r>
      <w:r>
        <w:rPr>
          <w:rFonts w:hint="eastAsia"/>
        </w:rPr>
        <w:t xml:space="preserve">      </w:t>
      </w:r>
      <w:r>
        <w:rPr>
          <w:position w:val="-30"/>
        </w:rPr>
        <w:object>
          <v:shape id="_x0000_i1036" o:spt="75" type="#_x0000_t75" style="height:34.35pt;width:95.4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37">
            <o:LockedField>false</o:LockedField>
          </o:OLEObject>
        </w:object>
      </w:r>
    </w:p>
    <w:p w14:paraId="0895CF60">
      <w:pPr>
        <w:wordWrap w:val="0"/>
        <w:adjustRightInd w:val="0"/>
        <w:spacing w:line="360" w:lineRule="auto"/>
      </w:pPr>
      <w:r>
        <w:t>C.</w:t>
      </w:r>
      <w:r>
        <w:rPr>
          <w:rFonts w:hint="eastAsia"/>
        </w:rPr>
        <w:t>3</w:t>
      </w:r>
      <w:r>
        <w:t>不确定度来源</w:t>
      </w:r>
      <w:r>
        <w:rPr>
          <w:rFonts w:hint="eastAsia"/>
        </w:rPr>
        <w:t>分析：</w:t>
      </w:r>
      <w:r>
        <w:t>示值误差测量不确定度的影响因素</w:t>
      </w:r>
      <w:r>
        <w:rPr>
          <w:rFonts w:hint="eastAsia"/>
        </w:rPr>
        <w:t>如下。</w:t>
      </w:r>
    </w:p>
    <w:p w14:paraId="2A7AA5CE">
      <w:pPr>
        <w:wordWrap w:val="0"/>
        <w:adjustRightInd w:val="0"/>
        <w:spacing w:line="360" w:lineRule="auto"/>
      </w:pPr>
      <w:r>
        <w:t>C.</w:t>
      </w:r>
      <w:r>
        <w:rPr>
          <w:rFonts w:hint="eastAsia"/>
        </w:rPr>
        <w:t>3</w:t>
      </w:r>
      <w:r>
        <w:t>.1测量重复性引入的的标准不确定度</w:t>
      </w:r>
      <w:r>
        <w:rPr>
          <w:position w:val="-10"/>
        </w:rPr>
        <w:object>
          <v:shape id="_x0000_i1037" o:spt="75" type="#_x0000_t75" style="height:20.1pt;width:26.8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39">
            <o:LockedField>false</o:LockedField>
          </o:OLEObject>
        </w:object>
      </w:r>
      <w:r>
        <w:t>；</w:t>
      </w:r>
    </w:p>
    <w:p w14:paraId="23EAF812">
      <w:pPr>
        <w:wordWrap w:val="0"/>
        <w:adjustRightInd w:val="0"/>
        <w:spacing w:line="360" w:lineRule="auto"/>
      </w:pPr>
      <w:r>
        <w:t>C.</w:t>
      </w:r>
      <w:r>
        <w:rPr>
          <w:rFonts w:hint="eastAsia"/>
        </w:rPr>
        <w:t>3</w:t>
      </w:r>
      <w:r>
        <w:t>.2分辨力引入的标准不确定度</w:t>
      </w:r>
      <w:r>
        <w:rPr>
          <w:position w:val="-12"/>
        </w:rPr>
        <w:object>
          <v:shape id="_x0000_i1038" o:spt="75" type="#_x0000_t75" style="height:20.1pt;width:14.25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41">
            <o:LockedField>false</o:LockedField>
          </o:OLEObject>
        </w:object>
      </w:r>
      <w:r>
        <w:t>；</w:t>
      </w:r>
    </w:p>
    <w:p w14:paraId="51F3AD81">
      <w:pPr>
        <w:wordWrap w:val="0"/>
        <w:adjustRightInd w:val="0"/>
        <w:spacing w:line="360" w:lineRule="auto"/>
      </w:pPr>
      <w:r>
        <w:t>C.</w:t>
      </w:r>
      <w:r>
        <w:rPr>
          <w:rFonts w:hint="eastAsia"/>
        </w:rPr>
        <w:t>3</w:t>
      </w:r>
      <w:r>
        <w:t>.3测量标准引入的标准不确定度</w:t>
      </w:r>
      <w:r>
        <w:rPr>
          <w:position w:val="-12"/>
        </w:rPr>
        <w:object>
          <v:shape id="_x0000_i1039" o:spt="75" type="#_x0000_t75" style="height:16.75pt;width:31.8pt;" o:ole="t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43">
            <o:LockedField>false</o:LockedField>
          </o:OLEObject>
        </w:object>
      </w:r>
      <w:r>
        <w:t>。</w:t>
      </w:r>
    </w:p>
    <w:p w14:paraId="1C524987">
      <w:pPr>
        <w:wordWrap w:val="0"/>
        <w:adjustRightInd w:val="0"/>
        <w:spacing w:line="360" w:lineRule="auto"/>
      </w:pPr>
      <w:r>
        <w:t>C.</w:t>
      </w:r>
      <w:r>
        <w:rPr>
          <w:rFonts w:hint="eastAsia"/>
        </w:rPr>
        <w:t>4</w:t>
      </w:r>
      <w:r>
        <w:t>标准不确定度评定</w:t>
      </w:r>
    </w:p>
    <w:p w14:paraId="1EE6CCC5">
      <w:pPr>
        <w:spacing w:line="360" w:lineRule="auto"/>
      </w:pPr>
      <w:r>
        <w:t>C.</w:t>
      </w:r>
      <w:r>
        <w:rPr>
          <w:rFonts w:hint="eastAsia"/>
        </w:rPr>
        <w:t>4</w:t>
      </w:r>
      <w:r>
        <w:t>.1测量重复性引入的标准不确定度</w:t>
      </w:r>
      <w:r>
        <w:rPr>
          <w:position w:val="-10"/>
        </w:rPr>
        <w:object>
          <v:shape id="_x0000_i1040" o:spt="75" type="#_x0000_t75" style="height:20.1pt;width:26.8pt;" o:ole="t" filled="f" o:preferrelative="t" stroked="f" coordsize="21600,21600">
            <v:path/>
            <v:fill on="f" focussize="0,0"/>
            <v:stroke on="f" joinstyle="miter"/>
            <v:imagedata r:id="rId46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45">
            <o:LockedField>false</o:LockedField>
          </o:OLEObject>
        </w:object>
      </w:r>
    </w:p>
    <w:p w14:paraId="770580B5">
      <w:pPr>
        <w:wordWrap w:val="0"/>
        <w:adjustRightInd w:val="0"/>
        <w:spacing w:line="360" w:lineRule="auto"/>
        <w:ind w:firstLine="480" w:firstLineChars="200"/>
      </w:pPr>
      <w:r>
        <w:rPr>
          <w:rFonts w:hint="eastAsia"/>
        </w:rPr>
        <w:t>待</w:t>
      </w:r>
      <w:r>
        <w:t>分析仪</w:t>
      </w:r>
      <w:r>
        <w:rPr>
          <w:rFonts w:hint="eastAsia"/>
        </w:rPr>
        <w:t>稳定后</w:t>
      </w:r>
      <w:r>
        <w:t>，</w:t>
      </w:r>
      <w:r>
        <w:rPr>
          <w:rFonts w:hint="eastAsia"/>
        </w:rPr>
        <w:t>选用0.75</w:t>
      </w:r>
      <w:r>
        <w:rPr>
          <w:rFonts w:hint="eastAsia"/>
          <w:color w:val="000000"/>
        </w:rPr>
        <w:t xml:space="preserve"> g/cm</w:t>
      </w:r>
      <w:r>
        <w:rPr>
          <w:rFonts w:hint="eastAsia"/>
          <w:color w:val="000000"/>
          <w:vertAlign w:val="superscript"/>
        </w:rPr>
        <w:t>2</w:t>
      </w:r>
      <w:r>
        <w:t>的标准模体分别重复测量10次，对测量结果进行分析，结果见表1。</w:t>
      </w:r>
    </w:p>
    <w:p w14:paraId="1D03537C">
      <w:pPr>
        <w:adjustRightInd w:val="0"/>
        <w:spacing w:line="360" w:lineRule="auto"/>
        <w:jc w:val="center"/>
      </w:pPr>
      <w:r>
        <w:t>表1 测量结果</w:t>
      </w:r>
    </w:p>
    <w:tbl>
      <w:tblPr>
        <w:tblStyle w:val="22"/>
        <w:tblW w:w="5576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02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1193"/>
      </w:tblGrid>
      <w:tr w14:paraId="1A6C6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672" w:type="pct"/>
            <w:vMerge w:val="restart"/>
            <w:vAlign w:val="center"/>
          </w:tcPr>
          <w:p w14:paraId="6E02081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测量点（</w:t>
            </w:r>
            <w:r>
              <w:rPr>
                <w:rFonts w:hint="eastAsia"/>
                <w:color w:val="000000"/>
              </w:rPr>
              <w:t>g/cm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  <w:r>
              <w:rPr>
                <w:kern w:val="0"/>
                <w:szCs w:val="21"/>
              </w:rPr>
              <w:t>）</w:t>
            </w:r>
          </w:p>
        </w:tc>
        <w:tc>
          <w:tcPr>
            <w:tcW w:w="3700" w:type="pct"/>
            <w:gridSpan w:val="10"/>
            <w:tcBorders>
              <w:right w:val="single" w:color="auto" w:sz="4" w:space="0"/>
            </w:tcBorders>
            <w:vAlign w:val="center"/>
          </w:tcPr>
          <w:p w14:paraId="7DDB828B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测量值</w:t>
            </w:r>
            <w:r>
              <w:rPr>
                <w:position w:val="-12"/>
                <w:szCs w:val="21"/>
              </w:rPr>
              <w:object>
                <v:shape id="_x0000_i1041" o:spt="75" type="#_x0000_t75" style="height:18.4pt;width:14.25pt;" o:ole="t" filled="f" o:preferrelative="t" stroked="f" coordsize="21600,21600">
                  <v:path/>
                  <v:fill on="f" focussize="0,0"/>
                  <v:stroke on="f" joinstyle="miter"/>
                  <v:imagedata r:id="rId48" o:title=""/>
                  <o:lock v:ext="edit" aspectratio="t"/>
                  <w10:wrap type="none"/>
                  <w10:anchorlock/>
                </v:shape>
                <o:OLEObject Type="Embed" ProgID="Equation.3" ShapeID="_x0000_i1041" DrawAspect="Content" ObjectID="_1468075741" r:id="rId47">
                  <o:LockedField>false</o:LockedField>
                </o:OLEObject>
              </w:object>
            </w:r>
            <w:r>
              <w:rPr>
                <w:kern w:val="0"/>
                <w:szCs w:val="21"/>
              </w:rPr>
              <w:t>/（</w:t>
            </w:r>
            <w:r>
              <w:rPr>
                <w:rFonts w:hint="eastAsia"/>
                <w:color w:val="000000"/>
              </w:rPr>
              <w:t>g/cm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  <w:r>
              <w:rPr>
                <w:kern w:val="0"/>
                <w:szCs w:val="21"/>
              </w:rPr>
              <w:t>）</w:t>
            </w:r>
          </w:p>
        </w:tc>
        <w:tc>
          <w:tcPr>
            <w:tcW w:w="628" w:type="pct"/>
            <w:vMerge w:val="restart"/>
            <w:tcBorders>
              <w:left w:val="single" w:color="auto" w:sz="4" w:space="0"/>
            </w:tcBorders>
            <w:vAlign w:val="center"/>
          </w:tcPr>
          <w:p w14:paraId="626EB871">
            <w:pPr>
              <w:snapToGri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平均值</w:t>
            </w:r>
            <w:r>
              <w:rPr>
                <w:position w:val="-6"/>
                <w:szCs w:val="21"/>
              </w:rPr>
              <w:object>
                <v:shape id="_x0000_i1042" o:spt="75" type="#_x0000_t75" style="height:16.75pt;width:12.55pt;" o:ole="t" filled="f" o:preferrelative="t" stroked="f" coordsize="21600,21600">
                  <v:path/>
                  <v:fill on="f" focussize="0,0"/>
                  <v:stroke on="f" joinstyle="miter"/>
                  <v:imagedata r:id="rId50" o:title=""/>
                  <o:lock v:ext="edit" aspectratio="t"/>
                  <w10:wrap type="none"/>
                  <w10:anchorlock/>
                </v:shape>
                <o:OLEObject Type="Embed" ProgID="Equation.3" ShapeID="_x0000_i1042" DrawAspect="Content" ObjectID="_1468075742" r:id="rId49">
                  <o:LockedField>false</o:LockedField>
                </o:OLEObject>
              </w:objec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color w:val="000000"/>
              </w:rPr>
              <w:t>g/cm</w:t>
            </w:r>
            <w:r>
              <w:rPr>
                <w:rFonts w:hint="eastAsia"/>
                <w:color w:val="000000"/>
                <w:vertAlign w:val="superscript"/>
              </w:rPr>
              <w:t>2</w:t>
            </w:r>
            <w:r>
              <w:rPr>
                <w:kern w:val="0"/>
                <w:szCs w:val="21"/>
              </w:rPr>
              <w:t>）</w:t>
            </w:r>
          </w:p>
        </w:tc>
      </w:tr>
      <w:tr w14:paraId="5389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672" w:type="pct"/>
            <w:vMerge w:val="continue"/>
            <w:vAlign w:val="center"/>
          </w:tcPr>
          <w:p w14:paraId="00873255"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70" w:type="pct"/>
            <w:vAlign w:val="center"/>
          </w:tcPr>
          <w:p w14:paraId="2E090377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370" w:type="pct"/>
            <w:vAlign w:val="center"/>
          </w:tcPr>
          <w:p w14:paraId="47BB4D2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370" w:type="pct"/>
            <w:vAlign w:val="center"/>
          </w:tcPr>
          <w:p w14:paraId="6B4DD88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370" w:type="pct"/>
            <w:vAlign w:val="center"/>
          </w:tcPr>
          <w:p w14:paraId="2509A1B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370" w:type="pct"/>
            <w:tcBorders>
              <w:right w:val="single" w:color="auto" w:sz="4" w:space="0"/>
            </w:tcBorders>
            <w:vAlign w:val="center"/>
          </w:tcPr>
          <w:p w14:paraId="2631CC13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37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AFF5E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37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B0566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7</w:t>
            </w:r>
          </w:p>
        </w:tc>
        <w:tc>
          <w:tcPr>
            <w:tcW w:w="37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183884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8</w:t>
            </w:r>
          </w:p>
        </w:tc>
        <w:tc>
          <w:tcPr>
            <w:tcW w:w="370" w:type="pct"/>
            <w:tcBorders>
              <w:left w:val="single" w:color="auto" w:sz="4" w:space="0"/>
            </w:tcBorders>
            <w:vAlign w:val="center"/>
          </w:tcPr>
          <w:p w14:paraId="3089B782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9</w:t>
            </w:r>
          </w:p>
        </w:tc>
        <w:tc>
          <w:tcPr>
            <w:tcW w:w="370" w:type="pct"/>
            <w:tcBorders>
              <w:right w:val="single" w:color="auto" w:sz="4" w:space="0"/>
            </w:tcBorders>
            <w:vAlign w:val="center"/>
          </w:tcPr>
          <w:p w14:paraId="547020D0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628" w:type="pct"/>
            <w:vMerge w:val="continue"/>
            <w:tcBorders>
              <w:left w:val="single" w:color="auto" w:sz="4" w:space="0"/>
            </w:tcBorders>
            <w:vAlign w:val="center"/>
          </w:tcPr>
          <w:p w14:paraId="460D32E5">
            <w:pPr>
              <w:jc w:val="center"/>
              <w:rPr>
                <w:kern w:val="0"/>
                <w:sz w:val="20"/>
                <w:szCs w:val="21"/>
              </w:rPr>
            </w:pPr>
          </w:p>
        </w:tc>
      </w:tr>
      <w:tr w14:paraId="4743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672" w:type="pct"/>
            <w:vAlign w:val="center"/>
          </w:tcPr>
          <w:p w14:paraId="7320FB9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</w:rPr>
              <w:t>0.75</w:t>
            </w:r>
          </w:p>
        </w:tc>
        <w:tc>
          <w:tcPr>
            <w:tcW w:w="370" w:type="pct"/>
            <w:vAlign w:val="center"/>
          </w:tcPr>
          <w:p w14:paraId="111A11C1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734</w:t>
            </w:r>
          </w:p>
        </w:tc>
        <w:tc>
          <w:tcPr>
            <w:tcW w:w="370" w:type="pct"/>
            <w:vAlign w:val="center"/>
          </w:tcPr>
          <w:p w14:paraId="4C0A7CB5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739</w:t>
            </w:r>
          </w:p>
        </w:tc>
        <w:tc>
          <w:tcPr>
            <w:tcW w:w="370" w:type="pct"/>
            <w:vAlign w:val="center"/>
          </w:tcPr>
          <w:p w14:paraId="10738563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741</w:t>
            </w:r>
          </w:p>
        </w:tc>
        <w:tc>
          <w:tcPr>
            <w:tcW w:w="370" w:type="pct"/>
            <w:vAlign w:val="center"/>
          </w:tcPr>
          <w:p w14:paraId="7B6DF731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745</w:t>
            </w:r>
          </w:p>
        </w:tc>
        <w:tc>
          <w:tcPr>
            <w:tcW w:w="370" w:type="pct"/>
            <w:tcBorders>
              <w:right w:val="single" w:color="auto" w:sz="4" w:space="0"/>
            </w:tcBorders>
            <w:vAlign w:val="center"/>
          </w:tcPr>
          <w:p w14:paraId="35C9A392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736</w:t>
            </w:r>
          </w:p>
        </w:tc>
        <w:tc>
          <w:tcPr>
            <w:tcW w:w="37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5B3BF3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742</w:t>
            </w:r>
          </w:p>
        </w:tc>
        <w:tc>
          <w:tcPr>
            <w:tcW w:w="37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31462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.742</w:t>
            </w:r>
          </w:p>
        </w:tc>
        <w:tc>
          <w:tcPr>
            <w:tcW w:w="37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5E25EB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735</w:t>
            </w:r>
          </w:p>
        </w:tc>
        <w:tc>
          <w:tcPr>
            <w:tcW w:w="370" w:type="pct"/>
            <w:tcBorders>
              <w:left w:val="single" w:color="auto" w:sz="4" w:space="0"/>
            </w:tcBorders>
            <w:vAlign w:val="center"/>
          </w:tcPr>
          <w:p w14:paraId="0B8D687C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.744</w:t>
            </w:r>
          </w:p>
        </w:tc>
        <w:tc>
          <w:tcPr>
            <w:tcW w:w="370" w:type="pct"/>
            <w:tcBorders>
              <w:right w:val="single" w:color="auto" w:sz="4" w:space="0"/>
            </w:tcBorders>
            <w:vAlign w:val="center"/>
          </w:tcPr>
          <w:p w14:paraId="42A9A1AE">
            <w:pPr>
              <w:jc w:val="center"/>
              <w:rPr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.743</w:t>
            </w:r>
          </w:p>
        </w:tc>
        <w:tc>
          <w:tcPr>
            <w:tcW w:w="628" w:type="pct"/>
            <w:tcBorders>
              <w:left w:val="single" w:color="auto" w:sz="4" w:space="0"/>
            </w:tcBorders>
            <w:vAlign w:val="center"/>
          </w:tcPr>
          <w:p w14:paraId="6D1BC00F"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</w:rPr>
              <w:t>0.</w:t>
            </w:r>
            <w:r>
              <w:rPr>
                <w:rFonts w:hint="eastAsia"/>
                <w:color w:val="000000"/>
                <w:kern w:val="0"/>
              </w:rPr>
              <w:t>740</w:t>
            </w:r>
          </w:p>
        </w:tc>
      </w:tr>
    </w:tbl>
    <w:p w14:paraId="598259B1">
      <w:pPr>
        <w:wordWrap w:val="0"/>
        <w:adjustRightInd w:val="0"/>
        <w:spacing w:line="360" w:lineRule="auto"/>
        <w:ind w:firstLine="480" w:firstLineChars="200"/>
        <w:rPr>
          <w:position w:val="-26"/>
        </w:rPr>
      </w:pPr>
      <w:r>
        <w:rPr>
          <w:rFonts w:hint="eastAsia"/>
        </w:rPr>
        <w:t>实验</w:t>
      </w:r>
      <w:r>
        <w:t>标准偏差：</w:t>
      </w:r>
      <w:r>
        <w:rPr>
          <w:position w:val="-26"/>
        </w:rPr>
        <w:object>
          <v:shape id="_x0000_i1043" o:spt="75" type="#_x0000_t75" style="height:54.4pt;width:168.3pt;" o:ole="t" filled="f" o:preferrelative="t" stroked="f" coordsize="21600,21600">
            <v:path/>
            <v:fill on="f" focussize="0,0"/>
            <v:stroke on="f" joinstyle="miter"/>
            <v:imagedata r:id="rId52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51">
            <o:LockedField>false</o:LockedField>
          </o:OLEObject>
        </w:object>
      </w:r>
    </w:p>
    <w:p w14:paraId="1E2F40E6">
      <w:pPr>
        <w:wordWrap w:val="0"/>
        <w:adjustRightInd w:val="0"/>
        <w:spacing w:line="360" w:lineRule="auto"/>
        <w:ind w:firstLine="480" w:firstLineChars="200"/>
      </w:pPr>
      <w:r>
        <w:t>实际测量中，以</w:t>
      </w:r>
      <w:r>
        <w:rPr>
          <w:rFonts w:hint="eastAsia"/>
        </w:rPr>
        <w:t>3</w:t>
      </w:r>
      <w:r>
        <w:t>次测量平均值作为测量结果</w:t>
      </w:r>
      <w:r>
        <w:rPr>
          <w:rFonts w:hint="eastAsia"/>
        </w:rPr>
        <w:t>，</w:t>
      </w:r>
      <w:r>
        <w:t>则</w:t>
      </w:r>
    </w:p>
    <w:p w14:paraId="28DCC29D">
      <w:pPr>
        <w:wordWrap w:val="0"/>
        <w:adjustRightInd w:val="0"/>
        <w:spacing w:line="360" w:lineRule="auto"/>
        <w:ind w:firstLine="2880" w:firstLineChars="1200"/>
      </w:pPr>
      <w:r>
        <w:rPr>
          <w:position w:val="-28"/>
        </w:rPr>
        <w:object>
          <v:shape id="_x0000_i1044" o:spt="75" type="#_x0000_t75" style="height:33.5pt;width:123.05pt;" o:ole="t" filled="f" o:preferrelative="t" stroked="f" coordsize="21600,21600">
            <v:path/>
            <v:fill on="f" focussize="0,0"/>
            <v:stroke on="f" joinstyle="miter"/>
            <v:imagedata r:id="rId54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53">
            <o:LockedField>false</o:LockedField>
          </o:OLEObject>
        </w:object>
      </w:r>
    </w:p>
    <w:p w14:paraId="0573E24C">
      <w:pPr>
        <w:wordWrap w:val="0"/>
        <w:adjustRightInd w:val="0"/>
        <w:spacing w:line="360" w:lineRule="auto"/>
      </w:pPr>
      <w:r>
        <w:t>.C.</w:t>
      </w:r>
      <w:r>
        <w:rPr>
          <w:rFonts w:hint="eastAsia"/>
        </w:rPr>
        <w:t>4</w:t>
      </w:r>
      <w:r>
        <w:t>.2分辨力引入的标准不确定度</w:t>
      </w:r>
      <w:r>
        <w:rPr>
          <w:position w:val="-12"/>
        </w:rPr>
        <w:object>
          <v:shape id="_x0000_i1045" o:spt="75" type="#_x0000_t75" style="height:20.1pt;width:14.25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55">
            <o:LockedField>false</o:LockedField>
          </o:OLEObject>
        </w:object>
      </w:r>
    </w:p>
    <w:p w14:paraId="156A53AC">
      <w:pPr>
        <w:spacing w:line="360" w:lineRule="auto"/>
        <w:ind w:firstLine="480" w:firstLineChars="200"/>
        <w:rPr>
          <w:rFonts w:hAnsi="宋体"/>
        </w:rPr>
      </w:pPr>
      <w:r>
        <w:t>骨密度仪分辨力为0.0</w:t>
      </w:r>
      <w:r>
        <w:rPr>
          <w:rFonts w:hint="eastAsia"/>
        </w:rPr>
        <w:t>0</w:t>
      </w:r>
      <w:r>
        <w:t xml:space="preserve">1 </w:t>
      </w:r>
      <w:r>
        <w:rPr>
          <w:rFonts w:hint="eastAsia"/>
          <w:color w:val="000000"/>
        </w:rPr>
        <w:t>g/cm</w:t>
      </w:r>
      <w:r>
        <w:rPr>
          <w:rFonts w:hint="eastAsia"/>
          <w:color w:val="000000"/>
          <w:vertAlign w:val="superscript"/>
        </w:rPr>
        <w:t>2</w:t>
      </w:r>
      <w:r>
        <w:t>，按均匀分布</w:t>
      </w:r>
      <w:r>
        <w:rPr>
          <w:rFonts w:hint="eastAsia"/>
        </w:rPr>
        <w:t>，</w:t>
      </w:r>
      <w:r>
        <w:rPr>
          <w:position w:val="-28"/>
        </w:rPr>
        <w:object>
          <v:shape id="_x0000_i1046" o:spt="75" type="#_x0000_t75" style="height:33.5pt;width:134.8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3" ShapeID="_x0000_i1046" DrawAspect="Content" ObjectID="_1468075746" r:id="rId56">
            <o:LockedField>false</o:LockedField>
          </o:OLEObject>
        </w:object>
      </w:r>
      <w:r>
        <w:rPr>
          <w:position w:val="-10"/>
        </w:rPr>
        <w:t>。</w:t>
      </w:r>
      <w:r>
        <w:rPr>
          <w:rFonts w:hAnsi="宋体"/>
          <w:color w:val="000000"/>
        </w:rPr>
        <w:t>由</w:t>
      </w:r>
      <w:r>
        <w:rPr>
          <w:color w:val="000000"/>
        </w:rPr>
        <w:t>JJF1059</w:t>
      </w:r>
      <w:r>
        <w:rPr>
          <w:rFonts w:hint="eastAsia"/>
          <w:color w:val="000000"/>
        </w:rPr>
        <w:t>.1</w:t>
      </w:r>
      <w:r>
        <w:rPr>
          <w:color w:val="000000"/>
        </w:rPr>
        <w:t>-</w:t>
      </w:r>
      <w:r>
        <w:rPr>
          <w:rFonts w:hint="eastAsia"/>
          <w:color w:val="000000"/>
        </w:rPr>
        <w:t>2012</w:t>
      </w:r>
      <w:r>
        <w:rPr>
          <w:rFonts w:hAnsi="宋体"/>
          <w:color w:val="000000"/>
        </w:rPr>
        <w:t>《测量不确定度评定与表示》</w:t>
      </w:r>
      <w:r>
        <w:rPr>
          <w:rFonts w:hAnsi="宋体"/>
        </w:rPr>
        <w:t>知：测量重复性和分辨</w:t>
      </w:r>
      <w:r>
        <w:rPr>
          <w:rFonts w:hint="eastAsia" w:hAnsi="宋体"/>
        </w:rPr>
        <w:t>力</w:t>
      </w:r>
      <w:r>
        <w:rPr>
          <w:rFonts w:hAnsi="宋体"/>
        </w:rPr>
        <w:t>引入的不确定度分量取一较大值，而不能同时纳入，</w:t>
      </w:r>
      <w:r>
        <w:t>由于</w:t>
      </w:r>
      <w:r>
        <w:rPr>
          <w:position w:val="-10"/>
        </w:rPr>
        <w:object>
          <v:shape id="_x0000_i1047" o:spt="75" type="#_x0000_t75" style="height:19.25pt;width:16.7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t>小于</w:t>
      </w:r>
      <w:r>
        <w:rPr>
          <w:position w:val="-12"/>
        </w:rPr>
        <w:object>
          <v:shape id="_x0000_i1048" o:spt="75" type="#_x0000_t75" style="height:21.75pt;width:30.15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t>，</w:t>
      </w:r>
      <w:r>
        <w:rPr>
          <w:rFonts w:hAnsi="宋体"/>
        </w:rPr>
        <w:t>可以忽略分辨力引入的不确定度分量的影响。</w:t>
      </w:r>
    </w:p>
    <w:p w14:paraId="79FC61B9">
      <w:pPr>
        <w:spacing w:line="360" w:lineRule="auto"/>
      </w:pPr>
      <w:r>
        <w:t>C.</w:t>
      </w:r>
      <w:r>
        <w:rPr>
          <w:rFonts w:hint="eastAsia"/>
        </w:rPr>
        <w:t>4</w:t>
      </w:r>
      <w:r>
        <w:t>.3测量标准引入的标准不确定度</w:t>
      </w:r>
      <w:r>
        <w:rPr>
          <w:position w:val="-12"/>
        </w:rPr>
        <w:object>
          <v:shape id="_x0000_i1049" o:spt="75" type="#_x0000_t75" style="height:20.1pt;width:37.6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62">
            <o:LockedField>false</o:LockedField>
          </o:OLEObject>
        </w:object>
      </w:r>
    </w:p>
    <w:p w14:paraId="1EFAF26D">
      <w:pPr>
        <w:spacing w:line="360" w:lineRule="auto"/>
        <w:ind w:firstLine="480" w:firstLineChars="200"/>
      </w:pPr>
      <w:r>
        <w:rPr>
          <w:rFonts w:hint="eastAsia"/>
        </w:rPr>
        <w:t>按骨筒模体测量</w:t>
      </w:r>
      <w:r>
        <w:t>最大允许误差为±</w:t>
      </w:r>
      <w:r>
        <w:rPr>
          <w:rFonts w:hint="eastAsia"/>
        </w:rPr>
        <w:t>5.0%</w:t>
      </w:r>
      <w:r>
        <w:t>，取半宽</w:t>
      </w:r>
      <w:r>
        <w:rPr>
          <w:rFonts w:hint="eastAsia"/>
        </w:rPr>
        <w:t>5%，</w:t>
      </w:r>
      <w:r>
        <w:t>按</w:t>
      </w:r>
      <w:r>
        <w:rPr>
          <w:rFonts w:hint="eastAsia"/>
        </w:rPr>
        <w:t>均匀</w:t>
      </w:r>
      <w:r>
        <w:t>分布</w:t>
      </w:r>
      <w:r>
        <w:fldChar w:fldCharType="begin"/>
      </w:r>
      <w:r>
        <w:instrText xml:space="preserve"> QUOTE </w:instrTex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>
            <m:ctrlPr>
              <w:rPr>
                <w:rFonts w:ascii="Cambria Math" w:hAnsi="Cambria Math"/>
              </w:rPr>
            </m:ctrlPr>
          </m:deg>
          <m:e>
            <m:r>
              <m:rPr>
                <m:sty m:val="p"/>
              </m:rPr>
              <w:rPr>
                <w:rFonts w:ascii="Cambria Math" w:hAnsi="Cambria Math"/>
              </w:rPr>
              <m:t xml:space="preserve">6</m:t>
            </m:r>
            <m:ctrlPr>
              <w:rPr>
                <w:rFonts w:ascii="Cambria Math" w:hAnsi="Cambria Math"/>
              </w:rPr>
            </m:ctrlPr>
          </m:e>
        </m:rad>
      </m:oMath>
      <w:r>
        <w:instrText xml:space="preserve"> </w:instrText>
      </w:r>
      <w:r>
        <w:fldChar w:fldCharType="end"/>
      </w:r>
      <w:r>
        <w:t>，</w:t>
      </w:r>
      <w:r>
        <w:rPr>
          <w:color w:val="000000"/>
        </w:rPr>
        <w:t>则</w:t>
      </w:r>
    </w:p>
    <w:p w14:paraId="74356B22">
      <w:pPr>
        <w:spacing w:line="360" w:lineRule="auto"/>
        <w:ind w:firstLine="480" w:firstLineChars="200"/>
        <w:jc w:val="center"/>
      </w:pPr>
      <w:r>
        <w:rPr>
          <w:position w:val="-28"/>
        </w:rPr>
        <w:object>
          <v:shape id="_x0000_i1050" o:spt="75" type="#_x0000_t75" style="height:33.5pt;width:147.35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3" ShapeID="_x0000_i1050" DrawAspect="Content" ObjectID="_1468075750" r:id="rId64">
            <o:LockedField>false</o:LockedField>
          </o:OLEObject>
        </w:object>
      </w:r>
    </w:p>
    <w:p w14:paraId="558D44BD">
      <w:pPr>
        <w:spacing w:line="360" w:lineRule="auto"/>
        <w:jc w:val="center"/>
      </w:pPr>
    </w:p>
    <w:p w14:paraId="099C4DB0">
      <w:pPr>
        <w:spacing w:line="360" w:lineRule="auto"/>
      </w:pPr>
      <w:r>
        <w:t>C.</w:t>
      </w:r>
      <w:r>
        <w:rPr>
          <w:rFonts w:hint="eastAsia"/>
        </w:rPr>
        <w:t>4</w:t>
      </w:r>
      <w:r>
        <w:t>.4 标准不确定度汇总</w:t>
      </w:r>
    </w:p>
    <w:p w14:paraId="349300D5">
      <w:pPr>
        <w:spacing w:line="360" w:lineRule="auto"/>
        <w:ind w:firstLine="480" w:firstLineChars="200"/>
      </w:pPr>
      <w:r>
        <w:t>标准不确定度汇总于表2。</w:t>
      </w:r>
    </w:p>
    <w:p w14:paraId="61F85AC4">
      <w:pPr>
        <w:spacing w:line="360" w:lineRule="auto"/>
        <w:jc w:val="center"/>
      </w:pPr>
      <w:r>
        <w:t>表2 标准不确定度一览表</w:t>
      </w:r>
    </w:p>
    <w:tbl>
      <w:tblPr>
        <w:tblStyle w:val="2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097"/>
        <w:gridCol w:w="1993"/>
        <w:gridCol w:w="2115"/>
      </w:tblGrid>
      <w:tr w14:paraId="2AFB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  <w:jc w:val="center"/>
        </w:trPr>
        <w:tc>
          <w:tcPr>
            <w:tcW w:w="1354" w:type="pct"/>
            <w:vAlign w:val="center"/>
          </w:tcPr>
          <w:p w14:paraId="5DA41A05"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标准不确定度分量</w:t>
            </w:r>
          </w:p>
        </w:tc>
        <w:tc>
          <w:tcPr>
            <w:tcW w:w="1232" w:type="pct"/>
            <w:vAlign w:val="center"/>
          </w:tcPr>
          <w:p w14:paraId="78A98DF0"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不确定度来源</w:t>
            </w:r>
          </w:p>
        </w:tc>
        <w:tc>
          <w:tcPr>
            <w:tcW w:w="1171" w:type="pct"/>
            <w:vAlign w:val="center"/>
          </w:tcPr>
          <w:p w14:paraId="7D80AD85">
            <w:pPr>
              <w:widowControl/>
              <w:snapToGrid w:val="0"/>
              <w:spacing w:beforeLines="5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position w:val="-12"/>
              </w:rPr>
              <w:t>灵敏系数</w:t>
            </w:r>
          </w:p>
        </w:tc>
        <w:tc>
          <w:tcPr>
            <w:tcW w:w="1243" w:type="pct"/>
            <w:vAlign w:val="center"/>
          </w:tcPr>
          <w:p w14:paraId="4E072B00"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标准不确定度</w:t>
            </w:r>
          </w:p>
        </w:tc>
      </w:tr>
      <w:tr w14:paraId="17B0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1354" w:type="pct"/>
            <w:vAlign w:val="center"/>
          </w:tcPr>
          <w:p w14:paraId="68B31106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position w:val="-10"/>
              </w:rPr>
              <w:object>
                <v:shape id="_x0000_i1051" o:spt="75" type="#_x0000_t75" style="height:20.1pt;width:30.15pt;" o:ole="t" filled="f" o:preferrelative="t" stroked="f" coordsize="21600,21600">
                  <v:path/>
                  <v:fill on="f" focussize="0,0"/>
                  <v:stroke on="f" joinstyle="miter"/>
                  <v:imagedata r:id="rId67" o:title=""/>
                  <o:lock v:ext="edit" aspectratio="t"/>
                  <w10:wrap type="none"/>
                  <w10:anchorlock/>
                </v:shape>
                <o:OLEObject Type="Embed" ProgID="Equation.DSMT4" ShapeID="_x0000_i1051" DrawAspect="Content" ObjectID="_1468075751" r:id="rId66">
                  <o:LockedField>false</o:LockedField>
                </o:OLEObject>
              </w:object>
            </w:r>
          </w:p>
        </w:tc>
        <w:tc>
          <w:tcPr>
            <w:tcW w:w="1232" w:type="pct"/>
            <w:vAlign w:val="center"/>
          </w:tcPr>
          <w:p w14:paraId="4CD40887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测量重复性</w:t>
            </w:r>
          </w:p>
        </w:tc>
        <w:tc>
          <w:tcPr>
            <w:tcW w:w="1171" w:type="pct"/>
            <w:vAlign w:val="center"/>
          </w:tcPr>
          <w:p w14:paraId="0B0322E3">
            <w:pPr>
              <w:widowControl/>
              <w:snapToGrid w:val="0"/>
              <w:jc w:val="center"/>
              <w:rPr>
                <w:color w:val="000000"/>
                <w:kern w:val="0"/>
                <w:vertAlign w:val="superscript"/>
              </w:rPr>
            </w:pPr>
            <w:r>
              <w:rPr>
                <w:rFonts w:hint="eastAsia"/>
                <w:color w:val="000000"/>
                <w:kern w:val="0"/>
              </w:rPr>
              <w:t>1.333</w:t>
            </w:r>
            <w:r>
              <w:rPr>
                <w:position w:val="-10"/>
              </w:rPr>
              <w:object>
                <v:shape id="_x0000_i1052" o:spt="75" type="#_x0000_t75" style="height:18.4pt;width:31.8pt;" o:ole="t" filled="f" o:preferrelative="t" stroked="f" coordsize="21600,21600">
                  <v:path/>
                  <v:fill on="f" focussize="0,0"/>
                  <v:stroke on="f" joinstyle="miter"/>
                  <v:imagedata r:id="rId69" o:title=""/>
                  <o:lock v:ext="edit" aspectratio="t"/>
                  <w10:wrap type="none"/>
                  <w10:anchorlock/>
                </v:shape>
                <o:OLEObject Type="Embed" ProgID="Equation.3" ShapeID="_x0000_i1052" DrawAspect="Content" ObjectID="_1468075752" r:id="rId68">
                  <o:LockedField>false</o:LockedField>
                </o:OLEObject>
              </w:object>
            </w:r>
          </w:p>
        </w:tc>
        <w:tc>
          <w:tcPr>
            <w:tcW w:w="1243" w:type="pct"/>
            <w:vAlign w:val="center"/>
          </w:tcPr>
          <w:p w14:paraId="1A8248A2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0.00</w:t>
            </w:r>
            <w:r>
              <w:rPr>
                <w:rFonts w:hint="eastAsia"/>
                <w:color w:val="000000"/>
                <w:kern w:val="0"/>
              </w:rPr>
              <w:t>7</w:t>
            </w:r>
            <w:r>
              <w:rPr>
                <w:position w:val="-10"/>
              </w:rPr>
              <w:object>
                <v:shape id="_x0000_i1053" o:spt="75" type="#_x0000_t75" style="height:18.4pt;width:31.8pt;" o:ole="t" filled="f" o:preferrelative="t" stroked="f" coordsize="21600,21600">
                  <v:path/>
                  <v:fill on="f" focussize="0,0"/>
                  <v:stroke on="f" joinstyle="miter"/>
                  <v:imagedata r:id="rId71" o:title=""/>
                  <o:lock v:ext="edit" aspectratio="t"/>
                  <w10:wrap type="none"/>
                  <w10:anchorlock/>
                </v:shape>
                <o:OLEObject Type="Embed" ProgID="Equation.3" ShapeID="_x0000_i1053" DrawAspect="Content" ObjectID="_1468075753" r:id="rId70">
                  <o:LockedField>false</o:LockedField>
                </o:OLEObject>
              </w:object>
            </w:r>
          </w:p>
        </w:tc>
      </w:tr>
      <w:tr w14:paraId="361A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354" w:type="pct"/>
            <w:vAlign w:val="center"/>
          </w:tcPr>
          <w:p w14:paraId="1E75619A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position w:val="-12"/>
              </w:rPr>
              <w:object>
                <v:shape id="_x0000_i1054" o:spt="75" type="#_x0000_t75" style="height:16.75pt;width:33.5pt;" o:ole="t" filled="f" o:preferrelative="t" stroked="f" coordsize="21600,21600">
                  <v:path/>
                  <v:fill on="f" focussize="0,0"/>
                  <v:stroke on="f" joinstyle="miter"/>
                  <v:imagedata r:id="rId73" o:title=""/>
                  <o:lock v:ext="edit" aspectratio="t"/>
                  <w10:wrap type="none"/>
                  <w10:anchorlock/>
                </v:shape>
                <o:OLEObject Type="Embed" ProgID="Equation.3" ShapeID="_x0000_i1054" DrawAspect="Content" ObjectID="_1468075754" r:id="rId72">
                  <o:LockedField>false</o:LockedField>
                </o:OLEObject>
              </w:object>
            </w:r>
          </w:p>
        </w:tc>
        <w:tc>
          <w:tcPr>
            <w:tcW w:w="1232" w:type="pct"/>
            <w:vAlign w:val="center"/>
          </w:tcPr>
          <w:p w14:paraId="1E13FA52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测量标准</w:t>
            </w:r>
          </w:p>
        </w:tc>
        <w:tc>
          <w:tcPr>
            <w:tcW w:w="1171" w:type="pct"/>
            <w:vAlign w:val="center"/>
          </w:tcPr>
          <w:p w14:paraId="78A3155D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-1.316</w:t>
            </w:r>
            <w:r>
              <w:rPr>
                <w:position w:val="-10"/>
              </w:rPr>
              <w:object>
                <v:shape id="_x0000_i1055" o:spt="75" type="#_x0000_t75" style="height:18.4pt;width:31.8pt;" o:ole="t" filled="f" o:preferrelative="t" stroked="f" coordsize="21600,21600">
                  <v:path/>
                  <v:fill on="f" focussize="0,0"/>
                  <v:stroke on="f" joinstyle="miter"/>
                  <v:imagedata r:id="rId75" o:title=""/>
                  <o:lock v:ext="edit" aspectratio="t"/>
                  <w10:wrap type="none"/>
                  <w10:anchorlock/>
                </v:shape>
                <o:OLEObject Type="Embed" ProgID="Equation.3" ShapeID="_x0000_i1055" DrawAspect="Content" ObjectID="_1468075755" r:id="rId74">
                  <o:LockedField>false</o:LockedField>
                </o:OLEObject>
              </w:object>
            </w:r>
          </w:p>
        </w:tc>
        <w:tc>
          <w:tcPr>
            <w:tcW w:w="1243" w:type="pct"/>
            <w:vAlign w:val="center"/>
          </w:tcPr>
          <w:p w14:paraId="424BF640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0.0</w:t>
            </w:r>
            <w:r>
              <w:rPr>
                <w:rFonts w:hint="eastAsia"/>
                <w:color w:val="000000"/>
                <w:kern w:val="0"/>
              </w:rPr>
              <w:t>27</w:t>
            </w:r>
            <w:r>
              <w:rPr>
                <w:position w:val="-10"/>
              </w:rPr>
              <w:object>
                <v:shape id="_x0000_i1056" o:spt="75" type="#_x0000_t75" style="height:18.4pt;width:31.8pt;" o:ole="t" filled="f" o:preferrelative="t" stroked="f" coordsize="21600,21600">
                  <v:path/>
                  <v:fill on="f" focussize="0,0"/>
                  <v:stroke on="f" joinstyle="miter"/>
                  <v:imagedata r:id="rId77" o:title=""/>
                  <o:lock v:ext="edit" aspectratio="t"/>
                  <w10:wrap type="none"/>
                  <w10:anchorlock/>
                </v:shape>
                <o:OLEObject Type="Embed" ProgID="Equation.3" ShapeID="_x0000_i1056" DrawAspect="Content" ObjectID="_1468075756" r:id="rId76">
                  <o:LockedField>false</o:LockedField>
                </o:OLEObject>
              </w:object>
            </w:r>
          </w:p>
        </w:tc>
      </w:tr>
    </w:tbl>
    <w:p w14:paraId="7F8EAAE3">
      <w:pPr>
        <w:spacing w:beforeLines="20" w:line="360" w:lineRule="auto"/>
      </w:pPr>
      <w:r>
        <w:t>C.</w:t>
      </w:r>
      <w:r>
        <w:rPr>
          <w:rFonts w:hint="eastAsia"/>
        </w:rPr>
        <w:t xml:space="preserve">5 </w:t>
      </w:r>
      <w:r>
        <w:t>合成标准不确定度</w:t>
      </w:r>
    </w:p>
    <w:p w14:paraId="19C45768">
      <w:pPr>
        <w:spacing w:beforeLines="20" w:line="360" w:lineRule="auto"/>
        <w:ind w:firstLine="240" w:firstLineChars="100"/>
      </w:pPr>
      <w:r>
        <w:t>各不确定度分量互不相关，所以合成标准不确定度为：</w:t>
      </w:r>
    </w:p>
    <w:p w14:paraId="777C0047">
      <w:pPr>
        <w:spacing w:beforeLines="20" w:line="360" w:lineRule="auto"/>
        <w:ind w:firstLine="240" w:firstLineChars="100"/>
        <w:jc w:val="center"/>
      </w:pPr>
      <w:r>
        <w:rPr>
          <w:position w:val="-14"/>
        </w:rPr>
        <w:object>
          <v:shape id="_x0000_i1057" o:spt="75" type="#_x0000_t75" style="height:25.1pt;width:201.75pt;" o:ole="t" filled="f" o:preferrelative="t" stroked="f" coordsize="21600,21600">
            <v:path/>
            <v:fill on="f" focussize="0,0"/>
            <v:stroke on="f" joinstyle="miter"/>
            <v:imagedata r:id="rId79" o:title=""/>
            <o:lock v:ext="edit" aspectratio="t"/>
            <w10:wrap type="none"/>
            <w10:anchorlock/>
          </v:shape>
          <o:OLEObject Type="Embed" ProgID="Equation.3" ShapeID="_x0000_i1057" DrawAspect="Content" ObjectID="_1468075757" r:id="rId78">
            <o:LockedField>false</o:LockedField>
          </o:OLEObject>
        </w:object>
      </w:r>
    </w:p>
    <w:p w14:paraId="2BFB0C3E">
      <w:pPr>
        <w:spacing w:line="360" w:lineRule="auto"/>
      </w:pPr>
      <w:r>
        <w:t>C.</w:t>
      </w:r>
      <w:r>
        <w:rPr>
          <w:rFonts w:hint="eastAsia"/>
        </w:rPr>
        <w:t xml:space="preserve">6 </w:t>
      </w:r>
      <w:r>
        <w:t>扩展不确定度的表示</w:t>
      </w:r>
    </w:p>
    <w:p w14:paraId="26AEA340">
      <w:pPr>
        <w:spacing w:line="360" w:lineRule="auto"/>
        <w:ind w:firstLine="480" w:firstLineChars="200"/>
      </w:pPr>
      <w:r>
        <w:t>取</w:t>
      </w:r>
      <w:r>
        <w:rPr>
          <w:i/>
          <w:iCs/>
        </w:rPr>
        <w:t>k</w:t>
      </w:r>
      <w:r>
        <w:t>=2，</w:t>
      </w:r>
      <w:r>
        <w:rPr>
          <w:rFonts w:hint="eastAsia"/>
        </w:rPr>
        <w:t>在0.75</w:t>
      </w:r>
      <w:r>
        <w:t xml:space="preserve"> </w:t>
      </w:r>
      <w:r>
        <w:rPr>
          <w:position w:val="-10"/>
        </w:rPr>
        <w:object>
          <v:shape id="_x0000_i1058" o:spt="75" type="#_x0000_t75" style="height:18.4pt;width:31.8pt;" o:ole="t" filled="f" o:preferrelative="t" stroked="f" coordsize="21600,21600">
            <v:path/>
            <v:fill on="f" focussize="0,0"/>
            <v:stroke on="f" joinstyle="miter"/>
            <v:imagedata r:id="rId81" o:title=""/>
            <o:lock v:ext="edit" aspectratio="t"/>
            <w10:wrap type="none"/>
            <w10:anchorlock/>
          </v:shape>
          <o:OLEObject Type="Embed" ProgID="Equation.3" ShapeID="_x0000_i1058" DrawAspect="Content" ObjectID="_1468075758" r:id="rId80">
            <o:LockedField>false</o:LockedField>
          </o:OLEObject>
        </w:object>
      </w:r>
      <w:r>
        <w:rPr>
          <w:rFonts w:hint="eastAsia"/>
        </w:rPr>
        <w:t>校准点，骨密度仪</w:t>
      </w:r>
      <w:r>
        <w:t>测量误差</w:t>
      </w:r>
      <w:r>
        <w:rPr>
          <w:rFonts w:hint="eastAsia"/>
        </w:rPr>
        <w:t>的</w:t>
      </w:r>
      <w:r>
        <w:t>扩展不确定度为：</w:t>
      </w:r>
    </w:p>
    <w:p w14:paraId="28C23E75">
      <w:pPr>
        <w:spacing w:line="300" w:lineRule="auto"/>
        <w:ind w:firstLine="435"/>
        <w:jc w:val="center"/>
      </w:pPr>
      <w:r>
        <w:rPr>
          <w:position w:val="-12"/>
        </w:rPr>
        <w:object>
          <v:shape id="_x0000_i1059" o:spt="75" type="#_x0000_t75" style="height:19.25pt;width:173.3pt;" o:ole="t" filled="f" o:preferrelative="t" stroked="f" coordsize="21600,21600">
            <v:path/>
            <v:fill on="f" focussize="0,0"/>
            <v:stroke on="f" joinstyle="miter"/>
            <v:imagedata r:id="rId83" o:title=""/>
            <o:lock v:ext="edit" aspectratio="t"/>
            <w10:wrap type="none"/>
            <w10:anchorlock/>
          </v:shape>
          <o:OLEObject Type="Embed" ProgID="Equation.3" ShapeID="_x0000_i1059" DrawAspect="Content" ObjectID="_1468075759" r:id="rId82">
            <o:LockedField>false</o:LockedField>
          </o:OLEObject>
        </w:object>
      </w:r>
    </w:p>
    <w:p w14:paraId="6D2E6B91">
      <w:pPr>
        <w:spacing w:line="360" w:lineRule="auto"/>
      </w:pPr>
      <w:r>
        <w:rPr>
          <w:rFonts w:hint="eastAsia"/>
          <w:shd w:val="clear" w:color="auto" w:fill="FFFFFF"/>
        </w:rPr>
        <w:t xml:space="preserve">               </w:t>
      </w:r>
      <w:r>
        <w:rPr>
          <w:shd w:val="clear" w:color="auto" w:fill="FFFFFF"/>
        </w:rPr>
        <w:t xml:space="preserve"> </w:t>
      </w:r>
      <w:r>
        <w:rPr>
          <w:u w:val="single"/>
          <w:shd w:val="clear" w:color="auto" w:fill="FFFFFF"/>
        </w:rPr>
        <w:t xml:space="preserve"> </w:t>
      </w:r>
      <w:r>
        <w:rPr>
          <w:rFonts w:hint="eastAsia"/>
          <w:u w:val="single"/>
          <w:shd w:val="clear" w:color="auto" w:fill="FFFFFF"/>
        </w:rPr>
        <w:t xml:space="preserve">   </w:t>
      </w:r>
      <w:r>
        <w:rPr>
          <w:u w:val="single"/>
          <w:shd w:val="clear" w:color="auto" w:fill="FFFFFF"/>
        </w:rPr>
        <w:t xml:space="preserve">  </w:t>
      </w:r>
      <w:r>
        <w:rPr>
          <w:rFonts w:hint="eastAsia"/>
          <w:u w:val="single"/>
          <w:shd w:val="clear" w:color="auto" w:fill="FFFFFF"/>
        </w:rPr>
        <w:t xml:space="preserve"> </w:t>
      </w:r>
      <w:r>
        <w:rPr>
          <w:u w:val="single"/>
          <w:shd w:val="clear" w:color="auto" w:fill="FFFFFF"/>
        </w:rPr>
        <w:t xml:space="preserve">                             </w:t>
      </w:r>
    </w:p>
    <w:sectPr>
      <w:pgSz w:w="11900" w:h="16840"/>
      <w:pgMar w:top="1440" w:right="1800" w:bottom="1440" w:left="1800" w:header="0" w:footer="120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10FF6">
    <w:pPr>
      <w:pStyle w:val="14"/>
      <w:framePr w:wrap="around" w:vAnchor="text" w:hAnchor="margin" w:xAlign="right" w:y="1"/>
      <w:rPr>
        <w:rStyle w:val="26"/>
      </w:rPr>
    </w:pPr>
    <w:r>
      <w:rPr>
        <w:rStyle w:val="26"/>
      </w:rPr>
      <w:fldChar w:fldCharType="begin"/>
    </w:r>
    <w:r>
      <w:rPr>
        <w:rStyle w:val="26"/>
      </w:rPr>
      <w:instrText xml:space="preserve">PAGE  </w:instrText>
    </w:r>
    <w:r>
      <w:rPr>
        <w:rStyle w:val="26"/>
      </w:rPr>
      <w:fldChar w:fldCharType="separate"/>
    </w:r>
    <w:r>
      <w:rPr>
        <w:rStyle w:val="26"/>
      </w:rPr>
      <w:t>II</w:t>
    </w:r>
    <w:r>
      <w:rPr>
        <w:rStyle w:val="26"/>
      </w:rPr>
      <w:fldChar w:fldCharType="end"/>
    </w:r>
  </w:p>
  <w:p w14:paraId="1EB6ECCA">
    <w:pPr>
      <w:pStyle w:val="1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63E99">
    <w:pPr>
      <w:pStyle w:val="14"/>
      <w:framePr w:wrap="around" w:vAnchor="text" w:hAnchor="margin" w:xAlign="right" w:y="1"/>
      <w:rPr>
        <w:rStyle w:val="26"/>
      </w:rPr>
    </w:pPr>
    <w:r>
      <w:rPr>
        <w:rStyle w:val="26"/>
      </w:rPr>
      <w:fldChar w:fldCharType="begin"/>
    </w:r>
    <w:r>
      <w:rPr>
        <w:rStyle w:val="26"/>
      </w:rPr>
      <w:instrText xml:space="preserve">PAGE  </w:instrText>
    </w:r>
    <w:r>
      <w:rPr>
        <w:rStyle w:val="26"/>
      </w:rPr>
      <w:fldChar w:fldCharType="end"/>
    </w:r>
  </w:p>
  <w:p w14:paraId="19C34800">
    <w:pPr>
      <w:pStyle w:val="1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5CB46">
    <w:pPr>
      <w:pStyle w:val="1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50E4D">
    <w:pPr>
      <w:pStyle w:val="14"/>
      <w:framePr w:wrap="around" w:vAnchor="text" w:hAnchor="margin" w:xAlign="right" w:y="1"/>
      <w:rPr>
        <w:rStyle w:val="26"/>
      </w:rPr>
    </w:pPr>
    <w:r>
      <w:rPr>
        <w:rStyle w:val="26"/>
      </w:rPr>
      <w:fldChar w:fldCharType="begin"/>
    </w:r>
    <w:r>
      <w:rPr>
        <w:rStyle w:val="26"/>
      </w:rPr>
      <w:instrText xml:space="preserve"> PAGE </w:instrText>
    </w:r>
    <w:r>
      <w:rPr>
        <w:rStyle w:val="26"/>
      </w:rPr>
      <w:fldChar w:fldCharType="separate"/>
    </w:r>
    <w:r>
      <w:rPr>
        <w:rStyle w:val="26"/>
      </w:rPr>
      <w:t>I</w:t>
    </w:r>
    <w:r>
      <w:rPr>
        <w:rStyle w:val="26"/>
      </w:rPr>
      <w:fldChar w:fldCharType="end"/>
    </w:r>
  </w:p>
  <w:p w14:paraId="47333574">
    <w:pPr>
      <w:pStyle w:val="1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8F778">
    <w:pPr>
      <w:pStyle w:val="14"/>
      <w:jc w:val="right"/>
    </w:pPr>
    <w:r>
      <w:rPr>
        <w:rStyle w:val="26"/>
      </w:rPr>
      <w:fldChar w:fldCharType="begin"/>
    </w:r>
    <w:r>
      <w:rPr>
        <w:rStyle w:val="26"/>
      </w:rPr>
      <w:instrText xml:space="preserve"> PAGE </w:instrText>
    </w:r>
    <w:r>
      <w:rPr>
        <w:rStyle w:val="26"/>
      </w:rPr>
      <w:fldChar w:fldCharType="separate"/>
    </w:r>
    <w:r>
      <w:rPr>
        <w:rStyle w:val="26"/>
      </w:rPr>
      <w:t>1</w:t>
    </w:r>
    <w:r>
      <w:rPr>
        <w:rStyle w:val="2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E1B34">
    <w:pPr>
      <w:pStyle w:val="14"/>
      <w:ind w:right="360"/>
      <w:jc w:val="right"/>
    </w:pPr>
    <w:r>
      <w:rPr>
        <w:rStyle w:val="26"/>
      </w:rPr>
      <w:fldChar w:fldCharType="begin"/>
    </w:r>
    <w:r>
      <w:rPr>
        <w:rStyle w:val="26"/>
      </w:rPr>
      <w:instrText xml:space="preserve"> PAGE </w:instrText>
    </w:r>
    <w:r>
      <w:rPr>
        <w:rStyle w:val="26"/>
      </w:rPr>
      <w:fldChar w:fldCharType="separate"/>
    </w:r>
    <w:r>
      <w:rPr>
        <w:rStyle w:val="26"/>
      </w:rPr>
      <w:t>5</w:t>
    </w:r>
    <w:r>
      <w:rPr>
        <w:rStyle w:val="2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BACD3">
    <w:pPr>
      <w:pStyle w:val="1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387D5">
    <w:pPr>
      <w:pStyle w:val="15"/>
      <w:framePr w:wrap="around" w:vAnchor="text" w:hAnchor="margin" w:xAlign="right" w:y="1"/>
      <w:rPr>
        <w:rStyle w:val="26"/>
      </w:rPr>
    </w:pPr>
    <w:r>
      <w:rPr>
        <w:rStyle w:val="26"/>
      </w:rPr>
      <w:fldChar w:fldCharType="begin"/>
    </w:r>
    <w:r>
      <w:rPr>
        <w:rStyle w:val="26"/>
      </w:rPr>
      <w:instrText xml:space="preserve">PAGE  </w:instrText>
    </w:r>
    <w:r>
      <w:rPr>
        <w:rStyle w:val="26"/>
      </w:rPr>
      <w:fldChar w:fldCharType="end"/>
    </w:r>
  </w:p>
  <w:p w14:paraId="27E14609">
    <w:pPr>
      <w:pStyle w:val="1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F20C4">
    <w:pPr>
      <w:pStyle w:val="15"/>
      <w:rPr>
        <w:rFonts w:hint="eastAsia" w:ascii="黑体" w:eastAsia="黑体"/>
        <w:sz w:val="21"/>
        <w:szCs w:val="21"/>
        <w:lang w:eastAsia="zh-CN"/>
      </w:rPr>
    </w:pPr>
    <w:r>
      <w:rPr>
        <w:rFonts w:hint="eastAsia" w:ascii="黑体" w:eastAsia="黑体"/>
        <w:sz w:val="21"/>
        <w:szCs w:val="21"/>
      </w:rPr>
      <w:t>JJF(浙)XXXX—</w:t>
    </w:r>
    <w:r>
      <w:rPr>
        <w:rFonts w:hint="eastAsia" w:ascii="黑体" w:eastAsia="黑体"/>
        <w:sz w:val="21"/>
        <w:szCs w:val="21"/>
        <w:lang w:val="en-US" w:eastAsia="zh-CN"/>
      </w:rPr>
      <w:t>XXXX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0C129">
    <w:pPr>
      <w:pStyle w:val="15"/>
      <w:pBdr>
        <w:bottom w:val="single" w:color="auto" w:sz="6" w:space="0"/>
      </w:pBdr>
      <w:rPr>
        <w:rFonts w:ascii="黑体" w:eastAsia="黑体"/>
        <w:sz w:val="21"/>
        <w:szCs w:val="21"/>
      </w:rPr>
    </w:pPr>
    <w:r>
      <w:rPr>
        <w:rFonts w:ascii="黑体" w:eastAsia="黑体"/>
        <w:sz w:val="21"/>
        <w:szCs w:val="21"/>
      </w:rPr>
      <w:t>JJF(</w:t>
    </w:r>
    <w:r>
      <w:rPr>
        <w:rFonts w:hint="eastAsia" w:ascii="黑体" w:eastAsia="黑体"/>
        <w:sz w:val="21"/>
        <w:szCs w:val="21"/>
      </w:rPr>
      <w:t>浙)XXXX—2024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C5F02"/>
    <w:multiLevelType w:val="multilevel"/>
    <w:tmpl w:val="0ACC5F02"/>
    <w:lvl w:ilvl="0" w:tentative="0">
      <w:start w:val="1"/>
      <w:numFmt w:val="lowerLetter"/>
      <w:lvlText w:val="%1)"/>
      <w:lvlJc w:val="left"/>
      <w:pPr>
        <w:ind w:left="915" w:hanging="420"/>
      </w:pPr>
    </w:lvl>
    <w:lvl w:ilvl="1" w:tentative="0">
      <w:start w:val="1"/>
      <w:numFmt w:val="lowerLetter"/>
      <w:lvlText w:val="%2)"/>
      <w:lvlJc w:val="left"/>
      <w:pPr>
        <w:ind w:left="1335" w:hanging="420"/>
      </w:pPr>
    </w:lvl>
    <w:lvl w:ilvl="2" w:tentative="0">
      <w:start w:val="1"/>
      <w:numFmt w:val="lowerRoman"/>
      <w:lvlText w:val="%3."/>
      <w:lvlJc w:val="right"/>
      <w:pPr>
        <w:ind w:left="1755" w:hanging="420"/>
      </w:pPr>
    </w:lvl>
    <w:lvl w:ilvl="3" w:tentative="0">
      <w:start w:val="1"/>
      <w:numFmt w:val="decimal"/>
      <w:lvlText w:val="%4."/>
      <w:lvlJc w:val="left"/>
      <w:pPr>
        <w:ind w:left="2175" w:hanging="420"/>
      </w:pPr>
    </w:lvl>
    <w:lvl w:ilvl="4" w:tentative="0">
      <w:start w:val="1"/>
      <w:numFmt w:val="lowerLetter"/>
      <w:lvlText w:val="%5)"/>
      <w:lvlJc w:val="left"/>
      <w:pPr>
        <w:ind w:left="2595" w:hanging="420"/>
      </w:pPr>
    </w:lvl>
    <w:lvl w:ilvl="5" w:tentative="0">
      <w:start w:val="1"/>
      <w:numFmt w:val="lowerRoman"/>
      <w:lvlText w:val="%6."/>
      <w:lvlJc w:val="right"/>
      <w:pPr>
        <w:ind w:left="3015" w:hanging="420"/>
      </w:pPr>
    </w:lvl>
    <w:lvl w:ilvl="6" w:tentative="0">
      <w:start w:val="1"/>
      <w:numFmt w:val="decimal"/>
      <w:lvlText w:val="%7."/>
      <w:lvlJc w:val="left"/>
      <w:pPr>
        <w:ind w:left="3435" w:hanging="420"/>
      </w:pPr>
    </w:lvl>
    <w:lvl w:ilvl="7" w:tentative="0">
      <w:start w:val="1"/>
      <w:numFmt w:val="lowerLetter"/>
      <w:lvlText w:val="%8)"/>
      <w:lvlJc w:val="left"/>
      <w:pPr>
        <w:ind w:left="3855" w:hanging="420"/>
      </w:pPr>
    </w:lvl>
    <w:lvl w:ilvl="8" w:tentative="0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hZjI2MjMyOTEyNDdhMjI4ZDdlMjA3MDBhZTcyZWIifQ=="/>
  </w:docVars>
  <w:rsids>
    <w:rsidRoot w:val="008C75C2"/>
    <w:rsid w:val="000001EC"/>
    <w:rsid w:val="00000435"/>
    <w:rsid w:val="00001D9D"/>
    <w:rsid w:val="00002E58"/>
    <w:rsid w:val="00003F3C"/>
    <w:rsid w:val="0000421A"/>
    <w:rsid w:val="0000449A"/>
    <w:rsid w:val="000055F6"/>
    <w:rsid w:val="0000578D"/>
    <w:rsid w:val="00005812"/>
    <w:rsid w:val="0000583C"/>
    <w:rsid w:val="00005C90"/>
    <w:rsid w:val="00007A30"/>
    <w:rsid w:val="00010423"/>
    <w:rsid w:val="00011B78"/>
    <w:rsid w:val="00011ED3"/>
    <w:rsid w:val="00012F1D"/>
    <w:rsid w:val="000137CA"/>
    <w:rsid w:val="000143B0"/>
    <w:rsid w:val="00020E5E"/>
    <w:rsid w:val="00020EA5"/>
    <w:rsid w:val="000215DE"/>
    <w:rsid w:val="00021FA9"/>
    <w:rsid w:val="000227F2"/>
    <w:rsid w:val="00023374"/>
    <w:rsid w:val="0002426A"/>
    <w:rsid w:val="00024953"/>
    <w:rsid w:val="0002580E"/>
    <w:rsid w:val="00025AAF"/>
    <w:rsid w:val="00026FE0"/>
    <w:rsid w:val="000273AA"/>
    <w:rsid w:val="00027576"/>
    <w:rsid w:val="0002785C"/>
    <w:rsid w:val="00030175"/>
    <w:rsid w:val="000308C4"/>
    <w:rsid w:val="00030FC1"/>
    <w:rsid w:val="000325B1"/>
    <w:rsid w:val="000342FD"/>
    <w:rsid w:val="00035441"/>
    <w:rsid w:val="00035E5E"/>
    <w:rsid w:val="0003674F"/>
    <w:rsid w:val="00036781"/>
    <w:rsid w:val="00036D53"/>
    <w:rsid w:val="0003736F"/>
    <w:rsid w:val="00037E51"/>
    <w:rsid w:val="000417D6"/>
    <w:rsid w:val="000418C0"/>
    <w:rsid w:val="00042B8E"/>
    <w:rsid w:val="0004340C"/>
    <w:rsid w:val="00043901"/>
    <w:rsid w:val="00044269"/>
    <w:rsid w:val="0004499A"/>
    <w:rsid w:val="0004558F"/>
    <w:rsid w:val="00045FE2"/>
    <w:rsid w:val="00046625"/>
    <w:rsid w:val="00046736"/>
    <w:rsid w:val="00046804"/>
    <w:rsid w:val="00046B95"/>
    <w:rsid w:val="00046BE5"/>
    <w:rsid w:val="00050098"/>
    <w:rsid w:val="000529A9"/>
    <w:rsid w:val="00052D61"/>
    <w:rsid w:val="00052FBB"/>
    <w:rsid w:val="00053577"/>
    <w:rsid w:val="00056102"/>
    <w:rsid w:val="00056603"/>
    <w:rsid w:val="000566EB"/>
    <w:rsid w:val="0005674E"/>
    <w:rsid w:val="00056CBE"/>
    <w:rsid w:val="00056DF5"/>
    <w:rsid w:val="00056EE6"/>
    <w:rsid w:val="0005721F"/>
    <w:rsid w:val="00057972"/>
    <w:rsid w:val="00057C9E"/>
    <w:rsid w:val="000615E2"/>
    <w:rsid w:val="00062E8F"/>
    <w:rsid w:val="00064673"/>
    <w:rsid w:val="000646B2"/>
    <w:rsid w:val="00064FA7"/>
    <w:rsid w:val="000652BE"/>
    <w:rsid w:val="0006601C"/>
    <w:rsid w:val="00066607"/>
    <w:rsid w:val="0006660C"/>
    <w:rsid w:val="00066791"/>
    <w:rsid w:val="00066BCD"/>
    <w:rsid w:val="00067186"/>
    <w:rsid w:val="00070208"/>
    <w:rsid w:val="00070876"/>
    <w:rsid w:val="00070C2C"/>
    <w:rsid w:val="00070C60"/>
    <w:rsid w:val="00071588"/>
    <w:rsid w:val="0007236B"/>
    <w:rsid w:val="0007296A"/>
    <w:rsid w:val="00072B24"/>
    <w:rsid w:val="000734D4"/>
    <w:rsid w:val="00073583"/>
    <w:rsid w:val="000741D6"/>
    <w:rsid w:val="00074FA9"/>
    <w:rsid w:val="00075671"/>
    <w:rsid w:val="00075870"/>
    <w:rsid w:val="00075E84"/>
    <w:rsid w:val="0007616B"/>
    <w:rsid w:val="000770BE"/>
    <w:rsid w:val="00077778"/>
    <w:rsid w:val="00077EF3"/>
    <w:rsid w:val="00081D33"/>
    <w:rsid w:val="0008203D"/>
    <w:rsid w:val="00082949"/>
    <w:rsid w:val="00084D8F"/>
    <w:rsid w:val="00084F41"/>
    <w:rsid w:val="00085257"/>
    <w:rsid w:val="000852C6"/>
    <w:rsid w:val="00085895"/>
    <w:rsid w:val="0008636F"/>
    <w:rsid w:val="000866AB"/>
    <w:rsid w:val="000872A9"/>
    <w:rsid w:val="00090836"/>
    <w:rsid w:val="00090940"/>
    <w:rsid w:val="00091028"/>
    <w:rsid w:val="00092114"/>
    <w:rsid w:val="00093035"/>
    <w:rsid w:val="0009344C"/>
    <w:rsid w:val="00093845"/>
    <w:rsid w:val="00093B54"/>
    <w:rsid w:val="00094676"/>
    <w:rsid w:val="00095857"/>
    <w:rsid w:val="00096934"/>
    <w:rsid w:val="000971E6"/>
    <w:rsid w:val="00097B08"/>
    <w:rsid w:val="000A0E43"/>
    <w:rsid w:val="000A123D"/>
    <w:rsid w:val="000A188C"/>
    <w:rsid w:val="000A1BA7"/>
    <w:rsid w:val="000A260D"/>
    <w:rsid w:val="000A2F5A"/>
    <w:rsid w:val="000A452A"/>
    <w:rsid w:val="000A61D1"/>
    <w:rsid w:val="000A73E1"/>
    <w:rsid w:val="000A74DD"/>
    <w:rsid w:val="000A7BE9"/>
    <w:rsid w:val="000B07BE"/>
    <w:rsid w:val="000B1349"/>
    <w:rsid w:val="000B13C5"/>
    <w:rsid w:val="000B1FEB"/>
    <w:rsid w:val="000B2468"/>
    <w:rsid w:val="000B689A"/>
    <w:rsid w:val="000C1C26"/>
    <w:rsid w:val="000C2F48"/>
    <w:rsid w:val="000C30C1"/>
    <w:rsid w:val="000C3529"/>
    <w:rsid w:val="000C3B20"/>
    <w:rsid w:val="000C421A"/>
    <w:rsid w:val="000C5A08"/>
    <w:rsid w:val="000C6CEA"/>
    <w:rsid w:val="000C6CF2"/>
    <w:rsid w:val="000C6E2D"/>
    <w:rsid w:val="000C7A61"/>
    <w:rsid w:val="000D1F77"/>
    <w:rsid w:val="000D2B2C"/>
    <w:rsid w:val="000D403B"/>
    <w:rsid w:val="000D4A85"/>
    <w:rsid w:val="000D5DC0"/>
    <w:rsid w:val="000D63B6"/>
    <w:rsid w:val="000D658B"/>
    <w:rsid w:val="000D67E8"/>
    <w:rsid w:val="000D69FC"/>
    <w:rsid w:val="000D6A6B"/>
    <w:rsid w:val="000D7232"/>
    <w:rsid w:val="000D73E4"/>
    <w:rsid w:val="000D7439"/>
    <w:rsid w:val="000D7801"/>
    <w:rsid w:val="000E2FD9"/>
    <w:rsid w:val="000E35FF"/>
    <w:rsid w:val="000E3650"/>
    <w:rsid w:val="000E4C1A"/>
    <w:rsid w:val="000E5216"/>
    <w:rsid w:val="000E55F8"/>
    <w:rsid w:val="000E5E6F"/>
    <w:rsid w:val="000E5F28"/>
    <w:rsid w:val="000F02CB"/>
    <w:rsid w:val="000F0DB3"/>
    <w:rsid w:val="000F2481"/>
    <w:rsid w:val="000F27BA"/>
    <w:rsid w:val="000F3DBC"/>
    <w:rsid w:val="000F3F58"/>
    <w:rsid w:val="000F57F2"/>
    <w:rsid w:val="000F615A"/>
    <w:rsid w:val="000F670C"/>
    <w:rsid w:val="000F6AFB"/>
    <w:rsid w:val="000F6F88"/>
    <w:rsid w:val="000F7991"/>
    <w:rsid w:val="000F7E1E"/>
    <w:rsid w:val="00100372"/>
    <w:rsid w:val="00102602"/>
    <w:rsid w:val="00103E1A"/>
    <w:rsid w:val="00104CE8"/>
    <w:rsid w:val="001057EE"/>
    <w:rsid w:val="00105B75"/>
    <w:rsid w:val="00107019"/>
    <w:rsid w:val="001074E5"/>
    <w:rsid w:val="00110082"/>
    <w:rsid w:val="00110229"/>
    <w:rsid w:val="0011072B"/>
    <w:rsid w:val="00112C22"/>
    <w:rsid w:val="0011364E"/>
    <w:rsid w:val="00113B50"/>
    <w:rsid w:val="00115A8E"/>
    <w:rsid w:val="00116DD9"/>
    <w:rsid w:val="00117131"/>
    <w:rsid w:val="00117471"/>
    <w:rsid w:val="00120158"/>
    <w:rsid w:val="00121174"/>
    <w:rsid w:val="00123227"/>
    <w:rsid w:val="00124531"/>
    <w:rsid w:val="00124B49"/>
    <w:rsid w:val="00125511"/>
    <w:rsid w:val="00125D77"/>
    <w:rsid w:val="001312B9"/>
    <w:rsid w:val="00133809"/>
    <w:rsid w:val="001345F1"/>
    <w:rsid w:val="00134D0C"/>
    <w:rsid w:val="00135583"/>
    <w:rsid w:val="001355B9"/>
    <w:rsid w:val="00136457"/>
    <w:rsid w:val="0013705D"/>
    <w:rsid w:val="001401E6"/>
    <w:rsid w:val="001410A4"/>
    <w:rsid w:val="0014147E"/>
    <w:rsid w:val="00142A87"/>
    <w:rsid w:val="0014471B"/>
    <w:rsid w:val="00145962"/>
    <w:rsid w:val="00145B64"/>
    <w:rsid w:val="00146278"/>
    <w:rsid w:val="00146A7E"/>
    <w:rsid w:val="00146B67"/>
    <w:rsid w:val="00147251"/>
    <w:rsid w:val="00147678"/>
    <w:rsid w:val="00150646"/>
    <w:rsid w:val="00151BF2"/>
    <w:rsid w:val="00152093"/>
    <w:rsid w:val="00152913"/>
    <w:rsid w:val="00153753"/>
    <w:rsid w:val="00153C77"/>
    <w:rsid w:val="00153D94"/>
    <w:rsid w:val="00153FB5"/>
    <w:rsid w:val="00154A5E"/>
    <w:rsid w:val="00155155"/>
    <w:rsid w:val="00155D4E"/>
    <w:rsid w:val="0015623A"/>
    <w:rsid w:val="00157184"/>
    <w:rsid w:val="001575AB"/>
    <w:rsid w:val="001578DB"/>
    <w:rsid w:val="0016026A"/>
    <w:rsid w:val="0016075A"/>
    <w:rsid w:val="001610EC"/>
    <w:rsid w:val="001614F4"/>
    <w:rsid w:val="0016162D"/>
    <w:rsid w:val="00162744"/>
    <w:rsid w:val="0016581B"/>
    <w:rsid w:val="00165EB6"/>
    <w:rsid w:val="001668D2"/>
    <w:rsid w:val="00166EC5"/>
    <w:rsid w:val="001675F7"/>
    <w:rsid w:val="00170935"/>
    <w:rsid w:val="00172415"/>
    <w:rsid w:val="00172467"/>
    <w:rsid w:val="0017439B"/>
    <w:rsid w:val="00174684"/>
    <w:rsid w:val="00174999"/>
    <w:rsid w:val="00174BA9"/>
    <w:rsid w:val="00174DB8"/>
    <w:rsid w:val="001766CE"/>
    <w:rsid w:val="00180079"/>
    <w:rsid w:val="001804B9"/>
    <w:rsid w:val="001805B9"/>
    <w:rsid w:val="00180D4C"/>
    <w:rsid w:val="00181424"/>
    <w:rsid w:val="00181567"/>
    <w:rsid w:val="00181795"/>
    <w:rsid w:val="00181D0D"/>
    <w:rsid w:val="00182B5F"/>
    <w:rsid w:val="00183B33"/>
    <w:rsid w:val="00184DAC"/>
    <w:rsid w:val="00184DCC"/>
    <w:rsid w:val="001864EA"/>
    <w:rsid w:val="00187C70"/>
    <w:rsid w:val="0019099B"/>
    <w:rsid w:val="00190BDD"/>
    <w:rsid w:val="00190DA5"/>
    <w:rsid w:val="00190ECD"/>
    <w:rsid w:val="001919B3"/>
    <w:rsid w:val="00193105"/>
    <w:rsid w:val="00193DEA"/>
    <w:rsid w:val="00194631"/>
    <w:rsid w:val="001957B3"/>
    <w:rsid w:val="001959E9"/>
    <w:rsid w:val="001A05AB"/>
    <w:rsid w:val="001A0868"/>
    <w:rsid w:val="001A1268"/>
    <w:rsid w:val="001A21DB"/>
    <w:rsid w:val="001A3295"/>
    <w:rsid w:val="001A438C"/>
    <w:rsid w:val="001A46ED"/>
    <w:rsid w:val="001A5FEA"/>
    <w:rsid w:val="001A6707"/>
    <w:rsid w:val="001B01C1"/>
    <w:rsid w:val="001B06EC"/>
    <w:rsid w:val="001B0FE6"/>
    <w:rsid w:val="001B166F"/>
    <w:rsid w:val="001B1914"/>
    <w:rsid w:val="001B1DFE"/>
    <w:rsid w:val="001B1F82"/>
    <w:rsid w:val="001B2A32"/>
    <w:rsid w:val="001B2A74"/>
    <w:rsid w:val="001B2DAB"/>
    <w:rsid w:val="001B4011"/>
    <w:rsid w:val="001B4673"/>
    <w:rsid w:val="001B596E"/>
    <w:rsid w:val="001B5DAC"/>
    <w:rsid w:val="001B5E1F"/>
    <w:rsid w:val="001B5F40"/>
    <w:rsid w:val="001B67B8"/>
    <w:rsid w:val="001B6A61"/>
    <w:rsid w:val="001B6D20"/>
    <w:rsid w:val="001B6DA7"/>
    <w:rsid w:val="001B7920"/>
    <w:rsid w:val="001B7BB4"/>
    <w:rsid w:val="001C078E"/>
    <w:rsid w:val="001C07C0"/>
    <w:rsid w:val="001C2530"/>
    <w:rsid w:val="001C3172"/>
    <w:rsid w:val="001C3ACC"/>
    <w:rsid w:val="001C4392"/>
    <w:rsid w:val="001C4547"/>
    <w:rsid w:val="001C4F28"/>
    <w:rsid w:val="001C51F3"/>
    <w:rsid w:val="001C5BAB"/>
    <w:rsid w:val="001C5E37"/>
    <w:rsid w:val="001C5EC9"/>
    <w:rsid w:val="001D01EF"/>
    <w:rsid w:val="001D08D9"/>
    <w:rsid w:val="001D0C17"/>
    <w:rsid w:val="001D166C"/>
    <w:rsid w:val="001D42AF"/>
    <w:rsid w:val="001D600C"/>
    <w:rsid w:val="001D66C2"/>
    <w:rsid w:val="001D6F79"/>
    <w:rsid w:val="001D75CC"/>
    <w:rsid w:val="001D7C06"/>
    <w:rsid w:val="001E094D"/>
    <w:rsid w:val="001E3445"/>
    <w:rsid w:val="001E4746"/>
    <w:rsid w:val="001E4CDD"/>
    <w:rsid w:val="001E5596"/>
    <w:rsid w:val="001E6576"/>
    <w:rsid w:val="001E6918"/>
    <w:rsid w:val="001E7278"/>
    <w:rsid w:val="001F2BE0"/>
    <w:rsid w:val="001F368B"/>
    <w:rsid w:val="001F41FE"/>
    <w:rsid w:val="001F4D23"/>
    <w:rsid w:val="001F56B1"/>
    <w:rsid w:val="001F5C30"/>
    <w:rsid w:val="001F5C4D"/>
    <w:rsid w:val="001F6584"/>
    <w:rsid w:val="001F6AA5"/>
    <w:rsid w:val="001F6C26"/>
    <w:rsid w:val="00200253"/>
    <w:rsid w:val="00200309"/>
    <w:rsid w:val="00201A6B"/>
    <w:rsid w:val="00201DF0"/>
    <w:rsid w:val="002028F4"/>
    <w:rsid w:val="00202A8B"/>
    <w:rsid w:val="00202FFA"/>
    <w:rsid w:val="0020320B"/>
    <w:rsid w:val="0020541B"/>
    <w:rsid w:val="00205766"/>
    <w:rsid w:val="00205D47"/>
    <w:rsid w:val="00206037"/>
    <w:rsid w:val="0020647C"/>
    <w:rsid w:val="00206E9B"/>
    <w:rsid w:val="0020799E"/>
    <w:rsid w:val="00212050"/>
    <w:rsid w:val="0021459F"/>
    <w:rsid w:val="002149DC"/>
    <w:rsid w:val="00216D4D"/>
    <w:rsid w:val="00217FCC"/>
    <w:rsid w:val="00220116"/>
    <w:rsid w:val="002205EC"/>
    <w:rsid w:val="00220A94"/>
    <w:rsid w:val="00220FDC"/>
    <w:rsid w:val="002214C1"/>
    <w:rsid w:val="0022175F"/>
    <w:rsid w:val="00221C63"/>
    <w:rsid w:val="002221AF"/>
    <w:rsid w:val="00223F19"/>
    <w:rsid w:val="00224D25"/>
    <w:rsid w:val="00224E62"/>
    <w:rsid w:val="00226555"/>
    <w:rsid w:val="002265AA"/>
    <w:rsid w:val="00226B91"/>
    <w:rsid w:val="00226F85"/>
    <w:rsid w:val="002275AA"/>
    <w:rsid w:val="00230ED2"/>
    <w:rsid w:val="0023124D"/>
    <w:rsid w:val="0023131B"/>
    <w:rsid w:val="00232EA6"/>
    <w:rsid w:val="002332E8"/>
    <w:rsid w:val="00233E91"/>
    <w:rsid w:val="00233E9F"/>
    <w:rsid w:val="00234022"/>
    <w:rsid w:val="00234F7F"/>
    <w:rsid w:val="00235BD1"/>
    <w:rsid w:val="00236C38"/>
    <w:rsid w:val="002372E6"/>
    <w:rsid w:val="00240718"/>
    <w:rsid w:val="00240A0E"/>
    <w:rsid w:val="002416D7"/>
    <w:rsid w:val="0024175F"/>
    <w:rsid w:val="00242ED6"/>
    <w:rsid w:val="00243155"/>
    <w:rsid w:val="002437A8"/>
    <w:rsid w:val="00243A12"/>
    <w:rsid w:val="002444DC"/>
    <w:rsid w:val="00244604"/>
    <w:rsid w:val="00246CF1"/>
    <w:rsid w:val="00247049"/>
    <w:rsid w:val="00247F4A"/>
    <w:rsid w:val="00250321"/>
    <w:rsid w:val="00250646"/>
    <w:rsid w:val="00250ADF"/>
    <w:rsid w:val="00251920"/>
    <w:rsid w:val="002524D6"/>
    <w:rsid w:val="002525E8"/>
    <w:rsid w:val="00253828"/>
    <w:rsid w:val="00253985"/>
    <w:rsid w:val="00253B7D"/>
    <w:rsid w:val="00254437"/>
    <w:rsid w:val="0025574A"/>
    <w:rsid w:val="00255B5C"/>
    <w:rsid w:val="00255E65"/>
    <w:rsid w:val="00255E8A"/>
    <w:rsid w:val="00256933"/>
    <w:rsid w:val="002579D5"/>
    <w:rsid w:val="00257A4E"/>
    <w:rsid w:val="00257BF2"/>
    <w:rsid w:val="00260804"/>
    <w:rsid w:val="00260815"/>
    <w:rsid w:val="00261B6E"/>
    <w:rsid w:val="00262FF5"/>
    <w:rsid w:val="00263565"/>
    <w:rsid w:val="00264BAF"/>
    <w:rsid w:val="002651E1"/>
    <w:rsid w:val="00265F0F"/>
    <w:rsid w:val="00266775"/>
    <w:rsid w:val="00266A14"/>
    <w:rsid w:val="00266B17"/>
    <w:rsid w:val="00267269"/>
    <w:rsid w:val="00270024"/>
    <w:rsid w:val="00272FA6"/>
    <w:rsid w:val="00273FB4"/>
    <w:rsid w:val="00274F37"/>
    <w:rsid w:val="002751B2"/>
    <w:rsid w:val="00277202"/>
    <w:rsid w:val="0027783A"/>
    <w:rsid w:val="00281991"/>
    <w:rsid w:val="00282817"/>
    <w:rsid w:val="00282C61"/>
    <w:rsid w:val="00283202"/>
    <w:rsid w:val="002832FE"/>
    <w:rsid w:val="00284F8F"/>
    <w:rsid w:val="0028572B"/>
    <w:rsid w:val="00285985"/>
    <w:rsid w:val="00285CAD"/>
    <w:rsid w:val="00286292"/>
    <w:rsid w:val="00286997"/>
    <w:rsid w:val="002902E8"/>
    <w:rsid w:val="00290519"/>
    <w:rsid w:val="00290634"/>
    <w:rsid w:val="00291A17"/>
    <w:rsid w:val="00291BA4"/>
    <w:rsid w:val="0029236D"/>
    <w:rsid w:val="00292E22"/>
    <w:rsid w:val="002948BD"/>
    <w:rsid w:val="00294F01"/>
    <w:rsid w:val="00295014"/>
    <w:rsid w:val="002967E2"/>
    <w:rsid w:val="002969CA"/>
    <w:rsid w:val="002A1D88"/>
    <w:rsid w:val="002A2238"/>
    <w:rsid w:val="002A28B1"/>
    <w:rsid w:val="002A2BE7"/>
    <w:rsid w:val="002A3B9D"/>
    <w:rsid w:val="002A458E"/>
    <w:rsid w:val="002A5FB9"/>
    <w:rsid w:val="002A77F7"/>
    <w:rsid w:val="002A7A56"/>
    <w:rsid w:val="002B0818"/>
    <w:rsid w:val="002B0A28"/>
    <w:rsid w:val="002B2414"/>
    <w:rsid w:val="002B388A"/>
    <w:rsid w:val="002B3DBE"/>
    <w:rsid w:val="002B4C66"/>
    <w:rsid w:val="002B520E"/>
    <w:rsid w:val="002B5A13"/>
    <w:rsid w:val="002B5E8B"/>
    <w:rsid w:val="002B71D0"/>
    <w:rsid w:val="002B7318"/>
    <w:rsid w:val="002B7848"/>
    <w:rsid w:val="002C00BC"/>
    <w:rsid w:val="002C06C2"/>
    <w:rsid w:val="002C0890"/>
    <w:rsid w:val="002C12F2"/>
    <w:rsid w:val="002C18B2"/>
    <w:rsid w:val="002C3B0A"/>
    <w:rsid w:val="002C459E"/>
    <w:rsid w:val="002C4C8B"/>
    <w:rsid w:val="002C4ED2"/>
    <w:rsid w:val="002C72C9"/>
    <w:rsid w:val="002C776B"/>
    <w:rsid w:val="002D2C48"/>
    <w:rsid w:val="002D3092"/>
    <w:rsid w:val="002D3D24"/>
    <w:rsid w:val="002D44B0"/>
    <w:rsid w:val="002D5278"/>
    <w:rsid w:val="002D5753"/>
    <w:rsid w:val="002D5A4D"/>
    <w:rsid w:val="002D6772"/>
    <w:rsid w:val="002E0084"/>
    <w:rsid w:val="002E1D6D"/>
    <w:rsid w:val="002E2435"/>
    <w:rsid w:val="002E5B65"/>
    <w:rsid w:val="002E5C9D"/>
    <w:rsid w:val="002E717A"/>
    <w:rsid w:val="002E740F"/>
    <w:rsid w:val="002E7DDC"/>
    <w:rsid w:val="002F0029"/>
    <w:rsid w:val="002F011C"/>
    <w:rsid w:val="002F0EA1"/>
    <w:rsid w:val="002F2196"/>
    <w:rsid w:val="002F33B9"/>
    <w:rsid w:val="002F4544"/>
    <w:rsid w:val="002F5C5A"/>
    <w:rsid w:val="002F6FD7"/>
    <w:rsid w:val="00300DBA"/>
    <w:rsid w:val="00300E8A"/>
    <w:rsid w:val="00301389"/>
    <w:rsid w:val="0030356E"/>
    <w:rsid w:val="003047EA"/>
    <w:rsid w:val="00304ADB"/>
    <w:rsid w:val="00305653"/>
    <w:rsid w:val="00305812"/>
    <w:rsid w:val="00310DAE"/>
    <w:rsid w:val="003121BC"/>
    <w:rsid w:val="003130BF"/>
    <w:rsid w:val="00314381"/>
    <w:rsid w:val="0031497C"/>
    <w:rsid w:val="00316246"/>
    <w:rsid w:val="00322226"/>
    <w:rsid w:val="003226DE"/>
    <w:rsid w:val="00322861"/>
    <w:rsid w:val="00322ACD"/>
    <w:rsid w:val="003239A3"/>
    <w:rsid w:val="00323B92"/>
    <w:rsid w:val="003247C6"/>
    <w:rsid w:val="00325412"/>
    <w:rsid w:val="003257A7"/>
    <w:rsid w:val="003266CA"/>
    <w:rsid w:val="0032768A"/>
    <w:rsid w:val="0032787A"/>
    <w:rsid w:val="00327D21"/>
    <w:rsid w:val="0033035E"/>
    <w:rsid w:val="00330DCF"/>
    <w:rsid w:val="00330EC2"/>
    <w:rsid w:val="00331600"/>
    <w:rsid w:val="003324A4"/>
    <w:rsid w:val="00333358"/>
    <w:rsid w:val="003338CE"/>
    <w:rsid w:val="00333DB3"/>
    <w:rsid w:val="00333FAC"/>
    <w:rsid w:val="003344C2"/>
    <w:rsid w:val="003347ED"/>
    <w:rsid w:val="00334E8C"/>
    <w:rsid w:val="003352D2"/>
    <w:rsid w:val="003357B6"/>
    <w:rsid w:val="00335AC2"/>
    <w:rsid w:val="00335D22"/>
    <w:rsid w:val="00336071"/>
    <w:rsid w:val="00336A39"/>
    <w:rsid w:val="00336AE1"/>
    <w:rsid w:val="00336C65"/>
    <w:rsid w:val="00337289"/>
    <w:rsid w:val="00337E27"/>
    <w:rsid w:val="003400C4"/>
    <w:rsid w:val="00341E97"/>
    <w:rsid w:val="00342A72"/>
    <w:rsid w:val="00342EDF"/>
    <w:rsid w:val="00343957"/>
    <w:rsid w:val="00343F58"/>
    <w:rsid w:val="0034465B"/>
    <w:rsid w:val="00344933"/>
    <w:rsid w:val="00345187"/>
    <w:rsid w:val="00345190"/>
    <w:rsid w:val="00345E7C"/>
    <w:rsid w:val="00346839"/>
    <w:rsid w:val="00346D08"/>
    <w:rsid w:val="00346D13"/>
    <w:rsid w:val="00347E0A"/>
    <w:rsid w:val="00347FA8"/>
    <w:rsid w:val="0035059B"/>
    <w:rsid w:val="00350DF0"/>
    <w:rsid w:val="00350E8C"/>
    <w:rsid w:val="003526BD"/>
    <w:rsid w:val="00352B40"/>
    <w:rsid w:val="00352F69"/>
    <w:rsid w:val="00355467"/>
    <w:rsid w:val="00356A95"/>
    <w:rsid w:val="003572E6"/>
    <w:rsid w:val="003575A4"/>
    <w:rsid w:val="00360B7F"/>
    <w:rsid w:val="003611E1"/>
    <w:rsid w:val="00361374"/>
    <w:rsid w:val="00361D2B"/>
    <w:rsid w:val="00361F64"/>
    <w:rsid w:val="0036343F"/>
    <w:rsid w:val="003637CB"/>
    <w:rsid w:val="003649FB"/>
    <w:rsid w:val="00364A29"/>
    <w:rsid w:val="0036673E"/>
    <w:rsid w:val="003700F9"/>
    <w:rsid w:val="00370493"/>
    <w:rsid w:val="00370662"/>
    <w:rsid w:val="00370CD7"/>
    <w:rsid w:val="00371B35"/>
    <w:rsid w:val="00372669"/>
    <w:rsid w:val="00372ED6"/>
    <w:rsid w:val="00374919"/>
    <w:rsid w:val="00375F13"/>
    <w:rsid w:val="003764AA"/>
    <w:rsid w:val="00376BAB"/>
    <w:rsid w:val="00376C48"/>
    <w:rsid w:val="00380144"/>
    <w:rsid w:val="0038044A"/>
    <w:rsid w:val="00381335"/>
    <w:rsid w:val="00382371"/>
    <w:rsid w:val="003823B8"/>
    <w:rsid w:val="00382653"/>
    <w:rsid w:val="00382791"/>
    <w:rsid w:val="003827AF"/>
    <w:rsid w:val="00384464"/>
    <w:rsid w:val="00384581"/>
    <w:rsid w:val="00384845"/>
    <w:rsid w:val="00386088"/>
    <w:rsid w:val="003863F7"/>
    <w:rsid w:val="00386435"/>
    <w:rsid w:val="003866E4"/>
    <w:rsid w:val="003867F6"/>
    <w:rsid w:val="00386F97"/>
    <w:rsid w:val="003877B0"/>
    <w:rsid w:val="003878A6"/>
    <w:rsid w:val="00390423"/>
    <w:rsid w:val="003905AE"/>
    <w:rsid w:val="00390E3A"/>
    <w:rsid w:val="00393111"/>
    <w:rsid w:val="003941D4"/>
    <w:rsid w:val="00394A96"/>
    <w:rsid w:val="00395696"/>
    <w:rsid w:val="00396110"/>
    <w:rsid w:val="003965FB"/>
    <w:rsid w:val="0039671C"/>
    <w:rsid w:val="00396C31"/>
    <w:rsid w:val="00396E73"/>
    <w:rsid w:val="00396FFB"/>
    <w:rsid w:val="003A110D"/>
    <w:rsid w:val="003A1768"/>
    <w:rsid w:val="003A1D90"/>
    <w:rsid w:val="003A291E"/>
    <w:rsid w:val="003A294E"/>
    <w:rsid w:val="003A3EE0"/>
    <w:rsid w:val="003A4B6E"/>
    <w:rsid w:val="003A6252"/>
    <w:rsid w:val="003A65E8"/>
    <w:rsid w:val="003A6D82"/>
    <w:rsid w:val="003A781A"/>
    <w:rsid w:val="003B0124"/>
    <w:rsid w:val="003B04B8"/>
    <w:rsid w:val="003B0A3A"/>
    <w:rsid w:val="003B1098"/>
    <w:rsid w:val="003B15E8"/>
    <w:rsid w:val="003B1BF8"/>
    <w:rsid w:val="003B1ECC"/>
    <w:rsid w:val="003B223F"/>
    <w:rsid w:val="003B2DC3"/>
    <w:rsid w:val="003B4598"/>
    <w:rsid w:val="003B5583"/>
    <w:rsid w:val="003B565A"/>
    <w:rsid w:val="003B58B4"/>
    <w:rsid w:val="003B5BC7"/>
    <w:rsid w:val="003B6086"/>
    <w:rsid w:val="003B6898"/>
    <w:rsid w:val="003B68B9"/>
    <w:rsid w:val="003C0631"/>
    <w:rsid w:val="003C0C90"/>
    <w:rsid w:val="003C1599"/>
    <w:rsid w:val="003C2A81"/>
    <w:rsid w:val="003C3893"/>
    <w:rsid w:val="003C4354"/>
    <w:rsid w:val="003C5183"/>
    <w:rsid w:val="003C52B1"/>
    <w:rsid w:val="003C5ABB"/>
    <w:rsid w:val="003C6027"/>
    <w:rsid w:val="003C6576"/>
    <w:rsid w:val="003C7D13"/>
    <w:rsid w:val="003D05A4"/>
    <w:rsid w:val="003D271A"/>
    <w:rsid w:val="003D329C"/>
    <w:rsid w:val="003D37EA"/>
    <w:rsid w:val="003D4001"/>
    <w:rsid w:val="003D4179"/>
    <w:rsid w:val="003D4AC9"/>
    <w:rsid w:val="003D4AFC"/>
    <w:rsid w:val="003D4B90"/>
    <w:rsid w:val="003D4D16"/>
    <w:rsid w:val="003D66BA"/>
    <w:rsid w:val="003D68AD"/>
    <w:rsid w:val="003E053E"/>
    <w:rsid w:val="003E10C5"/>
    <w:rsid w:val="003E2067"/>
    <w:rsid w:val="003E2BB9"/>
    <w:rsid w:val="003E3615"/>
    <w:rsid w:val="003E37BE"/>
    <w:rsid w:val="003E4030"/>
    <w:rsid w:val="003E459C"/>
    <w:rsid w:val="003E5507"/>
    <w:rsid w:val="003E5820"/>
    <w:rsid w:val="003F1951"/>
    <w:rsid w:val="003F2DF2"/>
    <w:rsid w:val="003F3130"/>
    <w:rsid w:val="003F3686"/>
    <w:rsid w:val="003F371D"/>
    <w:rsid w:val="003F39B9"/>
    <w:rsid w:val="003F401E"/>
    <w:rsid w:val="003F46B7"/>
    <w:rsid w:val="003F4702"/>
    <w:rsid w:val="003F7526"/>
    <w:rsid w:val="003F7BB1"/>
    <w:rsid w:val="00400679"/>
    <w:rsid w:val="004028F5"/>
    <w:rsid w:val="00403906"/>
    <w:rsid w:val="00403A5A"/>
    <w:rsid w:val="00403F2B"/>
    <w:rsid w:val="00404B4A"/>
    <w:rsid w:val="0040556B"/>
    <w:rsid w:val="0040630B"/>
    <w:rsid w:val="0040670C"/>
    <w:rsid w:val="0040675E"/>
    <w:rsid w:val="004069C4"/>
    <w:rsid w:val="00407912"/>
    <w:rsid w:val="0041223C"/>
    <w:rsid w:val="004124A5"/>
    <w:rsid w:val="004135E9"/>
    <w:rsid w:val="00413B93"/>
    <w:rsid w:val="004154B8"/>
    <w:rsid w:val="00416AD7"/>
    <w:rsid w:val="00417675"/>
    <w:rsid w:val="00417DA2"/>
    <w:rsid w:val="00421523"/>
    <w:rsid w:val="00421579"/>
    <w:rsid w:val="00422035"/>
    <w:rsid w:val="0042225D"/>
    <w:rsid w:val="004236B8"/>
    <w:rsid w:val="00424A0B"/>
    <w:rsid w:val="00425A89"/>
    <w:rsid w:val="004261D8"/>
    <w:rsid w:val="00426B12"/>
    <w:rsid w:val="00433972"/>
    <w:rsid w:val="0043454A"/>
    <w:rsid w:val="0043612C"/>
    <w:rsid w:val="0043619F"/>
    <w:rsid w:val="004373C8"/>
    <w:rsid w:val="00437A6D"/>
    <w:rsid w:val="00437AD0"/>
    <w:rsid w:val="00440552"/>
    <w:rsid w:val="00441E60"/>
    <w:rsid w:val="0044228C"/>
    <w:rsid w:val="004432A3"/>
    <w:rsid w:val="00443A87"/>
    <w:rsid w:val="00443B4F"/>
    <w:rsid w:val="004450CE"/>
    <w:rsid w:val="0044730B"/>
    <w:rsid w:val="00447772"/>
    <w:rsid w:val="00447CAB"/>
    <w:rsid w:val="00447EF0"/>
    <w:rsid w:val="00451E6D"/>
    <w:rsid w:val="00452B4D"/>
    <w:rsid w:val="00452F98"/>
    <w:rsid w:val="004534DF"/>
    <w:rsid w:val="00455395"/>
    <w:rsid w:val="00455C68"/>
    <w:rsid w:val="00455DBF"/>
    <w:rsid w:val="00456730"/>
    <w:rsid w:val="004603D0"/>
    <w:rsid w:val="00460F8D"/>
    <w:rsid w:val="004614E4"/>
    <w:rsid w:val="00461916"/>
    <w:rsid w:val="00462953"/>
    <w:rsid w:val="00464578"/>
    <w:rsid w:val="00466C07"/>
    <w:rsid w:val="00470CBF"/>
    <w:rsid w:val="004710B4"/>
    <w:rsid w:val="0047214E"/>
    <w:rsid w:val="00472AB2"/>
    <w:rsid w:val="00472BFB"/>
    <w:rsid w:val="00472C26"/>
    <w:rsid w:val="00473EBC"/>
    <w:rsid w:val="004749E3"/>
    <w:rsid w:val="0047523E"/>
    <w:rsid w:val="00475BEE"/>
    <w:rsid w:val="00475F7F"/>
    <w:rsid w:val="00476762"/>
    <w:rsid w:val="0048041F"/>
    <w:rsid w:val="0048051D"/>
    <w:rsid w:val="0048155C"/>
    <w:rsid w:val="00481FB7"/>
    <w:rsid w:val="00481FFF"/>
    <w:rsid w:val="00482D93"/>
    <w:rsid w:val="004831EC"/>
    <w:rsid w:val="0048398F"/>
    <w:rsid w:val="0048405E"/>
    <w:rsid w:val="00484F1F"/>
    <w:rsid w:val="00486007"/>
    <w:rsid w:val="00486498"/>
    <w:rsid w:val="004866ED"/>
    <w:rsid w:val="00486A54"/>
    <w:rsid w:val="0049001E"/>
    <w:rsid w:val="00490D4E"/>
    <w:rsid w:val="0049157E"/>
    <w:rsid w:val="004922F5"/>
    <w:rsid w:val="00495F31"/>
    <w:rsid w:val="00496262"/>
    <w:rsid w:val="00496316"/>
    <w:rsid w:val="004A0000"/>
    <w:rsid w:val="004A00BE"/>
    <w:rsid w:val="004A1177"/>
    <w:rsid w:val="004A1AD9"/>
    <w:rsid w:val="004A2147"/>
    <w:rsid w:val="004A38EF"/>
    <w:rsid w:val="004A3B17"/>
    <w:rsid w:val="004A3BCF"/>
    <w:rsid w:val="004A3F25"/>
    <w:rsid w:val="004A4AFA"/>
    <w:rsid w:val="004A4CB7"/>
    <w:rsid w:val="004A4F1D"/>
    <w:rsid w:val="004A6016"/>
    <w:rsid w:val="004A61DC"/>
    <w:rsid w:val="004A65A9"/>
    <w:rsid w:val="004A6AB5"/>
    <w:rsid w:val="004A7AFB"/>
    <w:rsid w:val="004A7E11"/>
    <w:rsid w:val="004B0CEF"/>
    <w:rsid w:val="004B1E04"/>
    <w:rsid w:val="004B2D09"/>
    <w:rsid w:val="004B4FD4"/>
    <w:rsid w:val="004B598F"/>
    <w:rsid w:val="004B5C67"/>
    <w:rsid w:val="004B682E"/>
    <w:rsid w:val="004B7493"/>
    <w:rsid w:val="004C23EA"/>
    <w:rsid w:val="004C362F"/>
    <w:rsid w:val="004C6F47"/>
    <w:rsid w:val="004C7559"/>
    <w:rsid w:val="004C7B35"/>
    <w:rsid w:val="004D0EA6"/>
    <w:rsid w:val="004D202D"/>
    <w:rsid w:val="004D2EA0"/>
    <w:rsid w:val="004D4488"/>
    <w:rsid w:val="004D461B"/>
    <w:rsid w:val="004D585A"/>
    <w:rsid w:val="004D6815"/>
    <w:rsid w:val="004D6C46"/>
    <w:rsid w:val="004D718C"/>
    <w:rsid w:val="004D7AE3"/>
    <w:rsid w:val="004E0534"/>
    <w:rsid w:val="004E1BBD"/>
    <w:rsid w:val="004E1BEE"/>
    <w:rsid w:val="004E1C59"/>
    <w:rsid w:val="004E34B4"/>
    <w:rsid w:val="004E39C5"/>
    <w:rsid w:val="004E3C36"/>
    <w:rsid w:val="004E3EB1"/>
    <w:rsid w:val="004E5A52"/>
    <w:rsid w:val="004E5BF4"/>
    <w:rsid w:val="004E7820"/>
    <w:rsid w:val="004E790B"/>
    <w:rsid w:val="004E7FAE"/>
    <w:rsid w:val="004E7FB8"/>
    <w:rsid w:val="004F042B"/>
    <w:rsid w:val="004F0CD3"/>
    <w:rsid w:val="004F189C"/>
    <w:rsid w:val="004F19AA"/>
    <w:rsid w:val="004F23E9"/>
    <w:rsid w:val="004F28F2"/>
    <w:rsid w:val="004F334B"/>
    <w:rsid w:val="004F37EC"/>
    <w:rsid w:val="004F4025"/>
    <w:rsid w:val="004F4ED7"/>
    <w:rsid w:val="004F5B26"/>
    <w:rsid w:val="004F5F8E"/>
    <w:rsid w:val="004F666F"/>
    <w:rsid w:val="004F6A59"/>
    <w:rsid w:val="004F71FE"/>
    <w:rsid w:val="004F7AA7"/>
    <w:rsid w:val="005018A9"/>
    <w:rsid w:val="00501DB5"/>
    <w:rsid w:val="0050296C"/>
    <w:rsid w:val="00504292"/>
    <w:rsid w:val="00504FFB"/>
    <w:rsid w:val="005051E2"/>
    <w:rsid w:val="00505B5B"/>
    <w:rsid w:val="00506001"/>
    <w:rsid w:val="00506481"/>
    <w:rsid w:val="00506CE2"/>
    <w:rsid w:val="00506F8B"/>
    <w:rsid w:val="00507357"/>
    <w:rsid w:val="0050787C"/>
    <w:rsid w:val="00511587"/>
    <w:rsid w:val="00513284"/>
    <w:rsid w:val="0051542C"/>
    <w:rsid w:val="00515465"/>
    <w:rsid w:val="00515802"/>
    <w:rsid w:val="00516EFE"/>
    <w:rsid w:val="00517176"/>
    <w:rsid w:val="0051721D"/>
    <w:rsid w:val="005206AE"/>
    <w:rsid w:val="00520DE9"/>
    <w:rsid w:val="00522465"/>
    <w:rsid w:val="00522E3A"/>
    <w:rsid w:val="00522F72"/>
    <w:rsid w:val="00523B61"/>
    <w:rsid w:val="00525017"/>
    <w:rsid w:val="00525822"/>
    <w:rsid w:val="0052640B"/>
    <w:rsid w:val="00526D0E"/>
    <w:rsid w:val="00526EA6"/>
    <w:rsid w:val="00527079"/>
    <w:rsid w:val="0053011C"/>
    <w:rsid w:val="00530BE4"/>
    <w:rsid w:val="00531FE7"/>
    <w:rsid w:val="00533AE2"/>
    <w:rsid w:val="005346D7"/>
    <w:rsid w:val="00535D99"/>
    <w:rsid w:val="00536782"/>
    <w:rsid w:val="00536EB4"/>
    <w:rsid w:val="00540465"/>
    <w:rsid w:val="005410FB"/>
    <w:rsid w:val="00541653"/>
    <w:rsid w:val="00541787"/>
    <w:rsid w:val="00541B64"/>
    <w:rsid w:val="005439E2"/>
    <w:rsid w:val="00543BFD"/>
    <w:rsid w:val="005440A7"/>
    <w:rsid w:val="00544A56"/>
    <w:rsid w:val="0054675E"/>
    <w:rsid w:val="0054734A"/>
    <w:rsid w:val="00547DC8"/>
    <w:rsid w:val="0055074B"/>
    <w:rsid w:val="00550D98"/>
    <w:rsid w:val="00551B29"/>
    <w:rsid w:val="005521D6"/>
    <w:rsid w:val="00552D3D"/>
    <w:rsid w:val="00553F0C"/>
    <w:rsid w:val="00553F82"/>
    <w:rsid w:val="00554281"/>
    <w:rsid w:val="00554414"/>
    <w:rsid w:val="0055450C"/>
    <w:rsid w:val="00554654"/>
    <w:rsid w:val="00554EC4"/>
    <w:rsid w:val="0055569B"/>
    <w:rsid w:val="0055617C"/>
    <w:rsid w:val="0055687A"/>
    <w:rsid w:val="00557426"/>
    <w:rsid w:val="0056000C"/>
    <w:rsid w:val="005614E8"/>
    <w:rsid w:val="0056152A"/>
    <w:rsid w:val="00561936"/>
    <w:rsid w:val="005641E2"/>
    <w:rsid w:val="005664AD"/>
    <w:rsid w:val="00566FC7"/>
    <w:rsid w:val="00570219"/>
    <w:rsid w:val="00570317"/>
    <w:rsid w:val="00570A15"/>
    <w:rsid w:val="00571E52"/>
    <w:rsid w:val="00571E8B"/>
    <w:rsid w:val="00572D4C"/>
    <w:rsid w:val="00573B5E"/>
    <w:rsid w:val="005740CC"/>
    <w:rsid w:val="00574970"/>
    <w:rsid w:val="005753A8"/>
    <w:rsid w:val="005753E3"/>
    <w:rsid w:val="00575C66"/>
    <w:rsid w:val="00576052"/>
    <w:rsid w:val="00576222"/>
    <w:rsid w:val="00576D37"/>
    <w:rsid w:val="005772A3"/>
    <w:rsid w:val="005772B2"/>
    <w:rsid w:val="00577568"/>
    <w:rsid w:val="005778CF"/>
    <w:rsid w:val="00580705"/>
    <w:rsid w:val="005812A9"/>
    <w:rsid w:val="00581508"/>
    <w:rsid w:val="005819C3"/>
    <w:rsid w:val="00581B10"/>
    <w:rsid w:val="00581D5C"/>
    <w:rsid w:val="00582455"/>
    <w:rsid w:val="00583105"/>
    <w:rsid w:val="00583DF2"/>
    <w:rsid w:val="0058629A"/>
    <w:rsid w:val="00586664"/>
    <w:rsid w:val="0058753C"/>
    <w:rsid w:val="00587E47"/>
    <w:rsid w:val="0059000E"/>
    <w:rsid w:val="00591472"/>
    <w:rsid w:val="00592362"/>
    <w:rsid w:val="005924BA"/>
    <w:rsid w:val="0059348C"/>
    <w:rsid w:val="00594155"/>
    <w:rsid w:val="00594692"/>
    <w:rsid w:val="00594A33"/>
    <w:rsid w:val="00595863"/>
    <w:rsid w:val="00596917"/>
    <w:rsid w:val="005977F1"/>
    <w:rsid w:val="00597C83"/>
    <w:rsid w:val="005A0755"/>
    <w:rsid w:val="005A196F"/>
    <w:rsid w:val="005A1A36"/>
    <w:rsid w:val="005A2CAA"/>
    <w:rsid w:val="005A2CEB"/>
    <w:rsid w:val="005A334B"/>
    <w:rsid w:val="005A338C"/>
    <w:rsid w:val="005A3E28"/>
    <w:rsid w:val="005A4EB4"/>
    <w:rsid w:val="005A59C3"/>
    <w:rsid w:val="005A5C8C"/>
    <w:rsid w:val="005A663C"/>
    <w:rsid w:val="005A6E6C"/>
    <w:rsid w:val="005B0A2D"/>
    <w:rsid w:val="005B1653"/>
    <w:rsid w:val="005B189B"/>
    <w:rsid w:val="005B2776"/>
    <w:rsid w:val="005B3B13"/>
    <w:rsid w:val="005B3CBB"/>
    <w:rsid w:val="005B3D10"/>
    <w:rsid w:val="005B3E8F"/>
    <w:rsid w:val="005B42EA"/>
    <w:rsid w:val="005B4740"/>
    <w:rsid w:val="005B6137"/>
    <w:rsid w:val="005B67F7"/>
    <w:rsid w:val="005B6C0D"/>
    <w:rsid w:val="005B6FC3"/>
    <w:rsid w:val="005B7CCD"/>
    <w:rsid w:val="005C0C7C"/>
    <w:rsid w:val="005C17D1"/>
    <w:rsid w:val="005C1D34"/>
    <w:rsid w:val="005C255A"/>
    <w:rsid w:val="005C428C"/>
    <w:rsid w:val="005C5B60"/>
    <w:rsid w:val="005C77A1"/>
    <w:rsid w:val="005D0214"/>
    <w:rsid w:val="005D02AA"/>
    <w:rsid w:val="005D0AEE"/>
    <w:rsid w:val="005D0C2C"/>
    <w:rsid w:val="005D0CD2"/>
    <w:rsid w:val="005D1711"/>
    <w:rsid w:val="005D204A"/>
    <w:rsid w:val="005D2375"/>
    <w:rsid w:val="005D24B6"/>
    <w:rsid w:val="005D3760"/>
    <w:rsid w:val="005D4489"/>
    <w:rsid w:val="005D524B"/>
    <w:rsid w:val="005D5278"/>
    <w:rsid w:val="005D52EA"/>
    <w:rsid w:val="005D77A5"/>
    <w:rsid w:val="005D79B9"/>
    <w:rsid w:val="005E0147"/>
    <w:rsid w:val="005E0AFB"/>
    <w:rsid w:val="005E0B17"/>
    <w:rsid w:val="005E158E"/>
    <w:rsid w:val="005E25B9"/>
    <w:rsid w:val="005E28F5"/>
    <w:rsid w:val="005E3504"/>
    <w:rsid w:val="005E37CD"/>
    <w:rsid w:val="005E4083"/>
    <w:rsid w:val="005E456F"/>
    <w:rsid w:val="005E4758"/>
    <w:rsid w:val="005E543D"/>
    <w:rsid w:val="005E54AC"/>
    <w:rsid w:val="005E57F9"/>
    <w:rsid w:val="005E5FFB"/>
    <w:rsid w:val="005E679E"/>
    <w:rsid w:val="005F0100"/>
    <w:rsid w:val="005F1837"/>
    <w:rsid w:val="005F28AB"/>
    <w:rsid w:val="005F2EC6"/>
    <w:rsid w:val="005F30AE"/>
    <w:rsid w:val="005F41DF"/>
    <w:rsid w:val="005F5101"/>
    <w:rsid w:val="005F5C55"/>
    <w:rsid w:val="005F5E27"/>
    <w:rsid w:val="005F5F8C"/>
    <w:rsid w:val="005F61CD"/>
    <w:rsid w:val="00601127"/>
    <w:rsid w:val="00601341"/>
    <w:rsid w:val="006023C5"/>
    <w:rsid w:val="006038A7"/>
    <w:rsid w:val="00603F47"/>
    <w:rsid w:val="00603F8C"/>
    <w:rsid w:val="006057B2"/>
    <w:rsid w:val="00607827"/>
    <w:rsid w:val="006104AF"/>
    <w:rsid w:val="006119E3"/>
    <w:rsid w:val="006131AC"/>
    <w:rsid w:val="0061478A"/>
    <w:rsid w:val="00614B9B"/>
    <w:rsid w:val="00615954"/>
    <w:rsid w:val="00617CA5"/>
    <w:rsid w:val="006212B0"/>
    <w:rsid w:val="0062197A"/>
    <w:rsid w:val="00621AE3"/>
    <w:rsid w:val="00622534"/>
    <w:rsid w:val="00622B8B"/>
    <w:rsid w:val="0062338E"/>
    <w:rsid w:val="006240BB"/>
    <w:rsid w:val="0062499E"/>
    <w:rsid w:val="00625126"/>
    <w:rsid w:val="006254E7"/>
    <w:rsid w:val="006260CA"/>
    <w:rsid w:val="0062680D"/>
    <w:rsid w:val="00626D76"/>
    <w:rsid w:val="00627C24"/>
    <w:rsid w:val="00630E62"/>
    <w:rsid w:val="006327AF"/>
    <w:rsid w:val="00632CB4"/>
    <w:rsid w:val="00633358"/>
    <w:rsid w:val="0063448F"/>
    <w:rsid w:val="00634570"/>
    <w:rsid w:val="0063474D"/>
    <w:rsid w:val="0063571B"/>
    <w:rsid w:val="006364BC"/>
    <w:rsid w:val="0063651C"/>
    <w:rsid w:val="0063704C"/>
    <w:rsid w:val="00637064"/>
    <w:rsid w:val="006374CA"/>
    <w:rsid w:val="006377CF"/>
    <w:rsid w:val="006378E9"/>
    <w:rsid w:val="00640278"/>
    <w:rsid w:val="006408DA"/>
    <w:rsid w:val="00641126"/>
    <w:rsid w:val="0064157D"/>
    <w:rsid w:val="00641E36"/>
    <w:rsid w:val="006425AF"/>
    <w:rsid w:val="00643B7C"/>
    <w:rsid w:val="00644066"/>
    <w:rsid w:val="0064442C"/>
    <w:rsid w:val="0064535D"/>
    <w:rsid w:val="006470C2"/>
    <w:rsid w:val="00647F24"/>
    <w:rsid w:val="00650A3D"/>
    <w:rsid w:val="0065116D"/>
    <w:rsid w:val="00652450"/>
    <w:rsid w:val="006539A3"/>
    <w:rsid w:val="00653BBF"/>
    <w:rsid w:val="00656E1E"/>
    <w:rsid w:val="006604D2"/>
    <w:rsid w:val="006604ED"/>
    <w:rsid w:val="00661329"/>
    <w:rsid w:val="00661556"/>
    <w:rsid w:val="00661ECB"/>
    <w:rsid w:val="00661F3A"/>
    <w:rsid w:val="006635E0"/>
    <w:rsid w:val="00663629"/>
    <w:rsid w:val="006659A3"/>
    <w:rsid w:val="00665E3C"/>
    <w:rsid w:val="00667E38"/>
    <w:rsid w:val="006709DB"/>
    <w:rsid w:val="0067129A"/>
    <w:rsid w:val="006727C2"/>
    <w:rsid w:val="00672BF8"/>
    <w:rsid w:val="0067436E"/>
    <w:rsid w:val="0067552C"/>
    <w:rsid w:val="0067552F"/>
    <w:rsid w:val="0067565C"/>
    <w:rsid w:val="00675B3C"/>
    <w:rsid w:val="00675BAC"/>
    <w:rsid w:val="00676686"/>
    <w:rsid w:val="006767A5"/>
    <w:rsid w:val="0067731F"/>
    <w:rsid w:val="0068069A"/>
    <w:rsid w:val="00680F2A"/>
    <w:rsid w:val="00681049"/>
    <w:rsid w:val="00681DCA"/>
    <w:rsid w:val="00682328"/>
    <w:rsid w:val="00682A2A"/>
    <w:rsid w:val="00683BFC"/>
    <w:rsid w:val="006842E2"/>
    <w:rsid w:val="00685B5D"/>
    <w:rsid w:val="00686D88"/>
    <w:rsid w:val="006873A6"/>
    <w:rsid w:val="00690564"/>
    <w:rsid w:val="00690FB4"/>
    <w:rsid w:val="00691CA2"/>
    <w:rsid w:val="00691FF8"/>
    <w:rsid w:val="0069266D"/>
    <w:rsid w:val="00694DDB"/>
    <w:rsid w:val="00695F97"/>
    <w:rsid w:val="006962E1"/>
    <w:rsid w:val="006963AC"/>
    <w:rsid w:val="006964A8"/>
    <w:rsid w:val="006967F1"/>
    <w:rsid w:val="00697AC8"/>
    <w:rsid w:val="006A2326"/>
    <w:rsid w:val="006A255C"/>
    <w:rsid w:val="006A3EE5"/>
    <w:rsid w:val="006A46E4"/>
    <w:rsid w:val="006A6697"/>
    <w:rsid w:val="006A6B32"/>
    <w:rsid w:val="006A74A0"/>
    <w:rsid w:val="006A760F"/>
    <w:rsid w:val="006B0F24"/>
    <w:rsid w:val="006B3292"/>
    <w:rsid w:val="006B3427"/>
    <w:rsid w:val="006B3A68"/>
    <w:rsid w:val="006B4660"/>
    <w:rsid w:val="006B4A07"/>
    <w:rsid w:val="006B602F"/>
    <w:rsid w:val="006B6530"/>
    <w:rsid w:val="006B6963"/>
    <w:rsid w:val="006B717D"/>
    <w:rsid w:val="006B7749"/>
    <w:rsid w:val="006B7A87"/>
    <w:rsid w:val="006C0A39"/>
    <w:rsid w:val="006C15E5"/>
    <w:rsid w:val="006C1C00"/>
    <w:rsid w:val="006C2C06"/>
    <w:rsid w:val="006C353C"/>
    <w:rsid w:val="006C4F5A"/>
    <w:rsid w:val="006C5589"/>
    <w:rsid w:val="006C564C"/>
    <w:rsid w:val="006C628F"/>
    <w:rsid w:val="006C6882"/>
    <w:rsid w:val="006C768D"/>
    <w:rsid w:val="006D091F"/>
    <w:rsid w:val="006D09DE"/>
    <w:rsid w:val="006D1073"/>
    <w:rsid w:val="006D1C26"/>
    <w:rsid w:val="006D209D"/>
    <w:rsid w:val="006D2224"/>
    <w:rsid w:val="006D3254"/>
    <w:rsid w:val="006D33DF"/>
    <w:rsid w:val="006D349F"/>
    <w:rsid w:val="006D3C21"/>
    <w:rsid w:val="006D42D3"/>
    <w:rsid w:val="006D6F10"/>
    <w:rsid w:val="006E158A"/>
    <w:rsid w:val="006E2327"/>
    <w:rsid w:val="006E2783"/>
    <w:rsid w:val="006E2AFD"/>
    <w:rsid w:val="006E2E58"/>
    <w:rsid w:val="006E476B"/>
    <w:rsid w:val="006E6522"/>
    <w:rsid w:val="006E6B23"/>
    <w:rsid w:val="006E6C00"/>
    <w:rsid w:val="006E7435"/>
    <w:rsid w:val="006E7955"/>
    <w:rsid w:val="006F0162"/>
    <w:rsid w:val="006F2595"/>
    <w:rsid w:val="006F25C8"/>
    <w:rsid w:val="006F265A"/>
    <w:rsid w:val="006F2A4F"/>
    <w:rsid w:val="006F3203"/>
    <w:rsid w:val="006F327E"/>
    <w:rsid w:val="006F3493"/>
    <w:rsid w:val="006F4C6D"/>
    <w:rsid w:val="006F4FAB"/>
    <w:rsid w:val="006F58FF"/>
    <w:rsid w:val="006F6560"/>
    <w:rsid w:val="006F66A8"/>
    <w:rsid w:val="007023CD"/>
    <w:rsid w:val="007024BB"/>
    <w:rsid w:val="00703207"/>
    <w:rsid w:val="00703B37"/>
    <w:rsid w:val="00704962"/>
    <w:rsid w:val="00704CEB"/>
    <w:rsid w:val="00704E7D"/>
    <w:rsid w:val="007055B8"/>
    <w:rsid w:val="0070733F"/>
    <w:rsid w:val="0070789B"/>
    <w:rsid w:val="00710565"/>
    <w:rsid w:val="00710D9D"/>
    <w:rsid w:val="00711856"/>
    <w:rsid w:val="0071254F"/>
    <w:rsid w:val="00712949"/>
    <w:rsid w:val="007135DB"/>
    <w:rsid w:val="00714C85"/>
    <w:rsid w:val="00716872"/>
    <w:rsid w:val="00717962"/>
    <w:rsid w:val="0072018E"/>
    <w:rsid w:val="0072028A"/>
    <w:rsid w:val="00720357"/>
    <w:rsid w:val="00721699"/>
    <w:rsid w:val="00721700"/>
    <w:rsid w:val="00721C73"/>
    <w:rsid w:val="00723C6F"/>
    <w:rsid w:val="00723E24"/>
    <w:rsid w:val="00724523"/>
    <w:rsid w:val="00725055"/>
    <w:rsid w:val="00725E01"/>
    <w:rsid w:val="00726BC2"/>
    <w:rsid w:val="00730013"/>
    <w:rsid w:val="00730207"/>
    <w:rsid w:val="00730585"/>
    <w:rsid w:val="00730B2F"/>
    <w:rsid w:val="00732B5C"/>
    <w:rsid w:val="00734EEF"/>
    <w:rsid w:val="00735E1B"/>
    <w:rsid w:val="00740809"/>
    <w:rsid w:val="00740D1B"/>
    <w:rsid w:val="00741591"/>
    <w:rsid w:val="007423C6"/>
    <w:rsid w:val="00743705"/>
    <w:rsid w:val="007440AF"/>
    <w:rsid w:val="0074519B"/>
    <w:rsid w:val="00745747"/>
    <w:rsid w:val="007463C8"/>
    <w:rsid w:val="007474AB"/>
    <w:rsid w:val="00747A6F"/>
    <w:rsid w:val="00747F47"/>
    <w:rsid w:val="00750019"/>
    <w:rsid w:val="007501B3"/>
    <w:rsid w:val="0075089F"/>
    <w:rsid w:val="00750B85"/>
    <w:rsid w:val="00752AA1"/>
    <w:rsid w:val="00752C6F"/>
    <w:rsid w:val="00753E82"/>
    <w:rsid w:val="00753F81"/>
    <w:rsid w:val="00754F3F"/>
    <w:rsid w:val="0075597D"/>
    <w:rsid w:val="00755CF8"/>
    <w:rsid w:val="00755E69"/>
    <w:rsid w:val="00756C45"/>
    <w:rsid w:val="00757742"/>
    <w:rsid w:val="00760358"/>
    <w:rsid w:val="00761978"/>
    <w:rsid w:val="007633CF"/>
    <w:rsid w:val="007634F2"/>
    <w:rsid w:val="00764921"/>
    <w:rsid w:val="00764C7E"/>
    <w:rsid w:val="00764FA3"/>
    <w:rsid w:val="0076534F"/>
    <w:rsid w:val="007675D9"/>
    <w:rsid w:val="00771D2A"/>
    <w:rsid w:val="00772448"/>
    <w:rsid w:val="00772BD8"/>
    <w:rsid w:val="0077394D"/>
    <w:rsid w:val="00773AA4"/>
    <w:rsid w:val="00773FEA"/>
    <w:rsid w:val="00774623"/>
    <w:rsid w:val="00775272"/>
    <w:rsid w:val="00775B44"/>
    <w:rsid w:val="00775EE7"/>
    <w:rsid w:val="0077620D"/>
    <w:rsid w:val="00777209"/>
    <w:rsid w:val="00777663"/>
    <w:rsid w:val="00777FD9"/>
    <w:rsid w:val="00781974"/>
    <w:rsid w:val="00782875"/>
    <w:rsid w:val="00782A03"/>
    <w:rsid w:val="0078313C"/>
    <w:rsid w:val="007833D4"/>
    <w:rsid w:val="007835D1"/>
    <w:rsid w:val="00784736"/>
    <w:rsid w:val="00785679"/>
    <w:rsid w:val="00787B92"/>
    <w:rsid w:val="007904AC"/>
    <w:rsid w:val="007921BC"/>
    <w:rsid w:val="00792657"/>
    <w:rsid w:val="00792FBD"/>
    <w:rsid w:val="00796B04"/>
    <w:rsid w:val="00796DE4"/>
    <w:rsid w:val="00797053"/>
    <w:rsid w:val="007975C8"/>
    <w:rsid w:val="007978D2"/>
    <w:rsid w:val="00797B51"/>
    <w:rsid w:val="00797D12"/>
    <w:rsid w:val="007A072C"/>
    <w:rsid w:val="007A414B"/>
    <w:rsid w:val="007A4239"/>
    <w:rsid w:val="007A4B07"/>
    <w:rsid w:val="007A53D1"/>
    <w:rsid w:val="007A6668"/>
    <w:rsid w:val="007A6CF8"/>
    <w:rsid w:val="007A7808"/>
    <w:rsid w:val="007B0342"/>
    <w:rsid w:val="007B07C1"/>
    <w:rsid w:val="007B09BD"/>
    <w:rsid w:val="007B1B52"/>
    <w:rsid w:val="007B24B5"/>
    <w:rsid w:val="007B33D3"/>
    <w:rsid w:val="007B66C2"/>
    <w:rsid w:val="007B6870"/>
    <w:rsid w:val="007B77F1"/>
    <w:rsid w:val="007C1B98"/>
    <w:rsid w:val="007C2278"/>
    <w:rsid w:val="007C40C5"/>
    <w:rsid w:val="007C69C2"/>
    <w:rsid w:val="007C6C2F"/>
    <w:rsid w:val="007C7089"/>
    <w:rsid w:val="007C72FB"/>
    <w:rsid w:val="007C7509"/>
    <w:rsid w:val="007C7870"/>
    <w:rsid w:val="007C7B11"/>
    <w:rsid w:val="007D0362"/>
    <w:rsid w:val="007D3519"/>
    <w:rsid w:val="007D3592"/>
    <w:rsid w:val="007D3D82"/>
    <w:rsid w:val="007D4D43"/>
    <w:rsid w:val="007D6135"/>
    <w:rsid w:val="007D712C"/>
    <w:rsid w:val="007E0278"/>
    <w:rsid w:val="007E04A1"/>
    <w:rsid w:val="007E0D3A"/>
    <w:rsid w:val="007E0E52"/>
    <w:rsid w:val="007E3206"/>
    <w:rsid w:val="007E34BE"/>
    <w:rsid w:val="007E3F85"/>
    <w:rsid w:val="007E40CA"/>
    <w:rsid w:val="007E47D1"/>
    <w:rsid w:val="007E5424"/>
    <w:rsid w:val="007E6A1C"/>
    <w:rsid w:val="007E6D2B"/>
    <w:rsid w:val="007E7010"/>
    <w:rsid w:val="007E7DFE"/>
    <w:rsid w:val="007F0FAE"/>
    <w:rsid w:val="007F2551"/>
    <w:rsid w:val="007F2B5E"/>
    <w:rsid w:val="007F4373"/>
    <w:rsid w:val="007F73DE"/>
    <w:rsid w:val="0080243D"/>
    <w:rsid w:val="008040EC"/>
    <w:rsid w:val="00805271"/>
    <w:rsid w:val="00805378"/>
    <w:rsid w:val="0080540B"/>
    <w:rsid w:val="0080612A"/>
    <w:rsid w:val="00806451"/>
    <w:rsid w:val="00806559"/>
    <w:rsid w:val="00807014"/>
    <w:rsid w:val="00807807"/>
    <w:rsid w:val="00807E48"/>
    <w:rsid w:val="00807F04"/>
    <w:rsid w:val="0081006E"/>
    <w:rsid w:val="00810F23"/>
    <w:rsid w:val="0081157F"/>
    <w:rsid w:val="008123DA"/>
    <w:rsid w:val="0081328B"/>
    <w:rsid w:val="00813BF7"/>
    <w:rsid w:val="008141EC"/>
    <w:rsid w:val="0081425C"/>
    <w:rsid w:val="008155D4"/>
    <w:rsid w:val="008168CB"/>
    <w:rsid w:val="0081698A"/>
    <w:rsid w:val="00817A7D"/>
    <w:rsid w:val="00820A39"/>
    <w:rsid w:val="0082254D"/>
    <w:rsid w:val="0082318F"/>
    <w:rsid w:val="008235F7"/>
    <w:rsid w:val="0082442A"/>
    <w:rsid w:val="00824C9A"/>
    <w:rsid w:val="008255D7"/>
    <w:rsid w:val="00826E45"/>
    <w:rsid w:val="00827718"/>
    <w:rsid w:val="008277CE"/>
    <w:rsid w:val="0083028A"/>
    <w:rsid w:val="00831F2D"/>
    <w:rsid w:val="008322E8"/>
    <w:rsid w:val="00833B3D"/>
    <w:rsid w:val="0083464E"/>
    <w:rsid w:val="00834B1F"/>
    <w:rsid w:val="00834E16"/>
    <w:rsid w:val="00836234"/>
    <w:rsid w:val="008411FD"/>
    <w:rsid w:val="0084390C"/>
    <w:rsid w:val="00844C66"/>
    <w:rsid w:val="00845ECD"/>
    <w:rsid w:val="008468D0"/>
    <w:rsid w:val="00847B95"/>
    <w:rsid w:val="00847C65"/>
    <w:rsid w:val="00847CC8"/>
    <w:rsid w:val="00850A88"/>
    <w:rsid w:val="00852120"/>
    <w:rsid w:val="00853EDE"/>
    <w:rsid w:val="0085605C"/>
    <w:rsid w:val="00856578"/>
    <w:rsid w:val="00856C40"/>
    <w:rsid w:val="00860EAA"/>
    <w:rsid w:val="008623D0"/>
    <w:rsid w:val="00862967"/>
    <w:rsid w:val="00862D1F"/>
    <w:rsid w:val="0086304C"/>
    <w:rsid w:val="00863DC4"/>
    <w:rsid w:val="00864764"/>
    <w:rsid w:val="00864CAF"/>
    <w:rsid w:val="00865124"/>
    <w:rsid w:val="00865A6F"/>
    <w:rsid w:val="0086655C"/>
    <w:rsid w:val="008669E3"/>
    <w:rsid w:val="00866D5E"/>
    <w:rsid w:val="00867232"/>
    <w:rsid w:val="0086743A"/>
    <w:rsid w:val="00867FBF"/>
    <w:rsid w:val="008701A1"/>
    <w:rsid w:val="008706C3"/>
    <w:rsid w:val="0087157C"/>
    <w:rsid w:val="00871976"/>
    <w:rsid w:val="008740A1"/>
    <w:rsid w:val="0087452C"/>
    <w:rsid w:val="00875E54"/>
    <w:rsid w:val="0087636B"/>
    <w:rsid w:val="00877CE5"/>
    <w:rsid w:val="00877DEA"/>
    <w:rsid w:val="008801A1"/>
    <w:rsid w:val="00880379"/>
    <w:rsid w:val="00880794"/>
    <w:rsid w:val="008809CD"/>
    <w:rsid w:val="00880CCF"/>
    <w:rsid w:val="00880DF7"/>
    <w:rsid w:val="00880F71"/>
    <w:rsid w:val="0088253E"/>
    <w:rsid w:val="00882B55"/>
    <w:rsid w:val="00882F36"/>
    <w:rsid w:val="00882F7B"/>
    <w:rsid w:val="00882FEC"/>
    <w:rsid w:val="008837A7"/>
    <w:rsid w:val="00884B60"/>
    <w:rsid w:val="00885BDD"/>
    <w:rsid w:val="00887E92"/>
    <w:rsid w:val="00890681"/>
    <w:rsid w:val="0089091B"/>
    <w:rsid w:val="00890BBC"/>
    <w:rsid w:val="00891BB2"/>
    <w:rsid w:val="00892C59"/>
    <w:rsid w:val="00892FB7"/>
    <w:rsid w:val="008930B4"/>
    <w:rsid w:val="00893185"/>
    <w:rsid w:val="008953C6"/>
    <w:rsid w:val="008960C8"/>
    <w:rsid w:val="0089626E"/>
    <w:rsid w:val="008A069E"/>
    <w:rsid w:val="008A0875"/>
    <w:rsid w:val="008A0EB8"/>
    <w:rsid w:val="008A1661"/>
    <w:rsid w:val="008A1836"/>
    <w:rsid w:val="008A1EDF"/>
    <w:rsid w:val="008A38E2"/>
    <w:rsid w:val="008A5754"/>
    <w:rsid w:val="008A57C3"/>
    <w:rsid w:val="008A5F87"/>
    <w:rsid w:val="008A602F"/>
    <w:rsid w:val="008A64C4"/>
    <w:rsid w:val="008B1736"/>
    <w:rsid w:val="008B28B1"/>
    <w:rsid w:val="008B2B33"/>
    <w:rsid w:val="008B2BE9"/>
    <w:rsid w:val="008B2DEA"/>
    <w:rsid w:val="008B3FA7"/>
    <w:rsid w:val="008B457C"/>
    <w:rsid w:val="008B4B90"/>
    <w:rsid w:val="008B4FEA"/>
    <w:rsid w:val="008B5612"/>
    <w:rsid w:val="008B5641"/>
    <w:rsid w:val="008B5FEA"/>
    <w:rsid w:val="008B6882"/>
    <w:rsid w:val="008B6DB6"/>
    <w:rsid w:val="008B7036"/>
    <w:rsid w:val="008C1623"/>
    <w:rsid w:val="008C2A02"/>
    <w:rsid w:val="008C3201"/>
    <w:rsid w:val="008C3B53"/>
    <w:rsid w:val="008C538B"/>
    <w:rsid w:val="008C56C7"/>
    <w:rsid w:val="008C57E5"/>
    <w:rsid w:val="008C620D"/>
    <w:rsid w:val="008C6411"/>
    <w:rsid w:val="008C6A58"/>
    <w:rsid w:val="008C6E4F"/>
    <w:rsid w:val="008C75C2"/>
    <w:rsid w:val="008D0081"/>
    <w:rsid w:val="008D0FEA"/>
    <w:rsid w:val="008D1192"/>
    <w:rsid w:val="008D1E9F"/>
    <w:rsid w:val="008D3300"/>
    <w:rsid w:val="008D3D86"/>
    <w:rsid w:val="008D4FEC"/>
    <w:rsid w:val="008D53FF"/>
    <w:rsid w:val="008D540D"/>
    <w:rsid w:val="008D574F"/>
    <w:rsid w:val="008D6091"/>
    <w:rsid w:val="008D70A8"/>
    <w:rsid w:val="008E04D2"/>
    <w:rsid w:val="008E11BD"/>
    <w:rsid w:val="008E12D6"/>
    <w:rsid w:val="008E2755"/>
    <w:rsid w:val="008E2C3A"/>
    <w:rsid w:val="008E32A9"/>
    <w:rsid w:val="008E5189"/>
    <w:rsid w:val="008E66B0"/>
    <w:rsid w:val="008E6F2B"/>
    <w:rsid w:val="008F1114"/>
    <w:rsid w:val="008F209F"/>
    <w:rsid w:val="008F23C4"/>
    <w:rsid w:val="008F292D"/>
    <w:rsid w:val="008F32CB"/>
    <w:rsid w:val="008F387B"/>
    <w:rsid w:val="008F394C"/>
    <w:rsid w:val="008F3D32"/>
    <w:rsid w:val="008F420E"/>
    <w:rsid w:val="008F441E"/>
    <w:rsid w:val="008F602B"/>
    <w:rsid w:val="008F6AE8"/>
    <w:rsid w:val="008F6B6B"/>
    <w:rsid w:val="00900794"/>
    <w:rsid w:val="00900A29"/>
    <w:rsid w:val="00900B32"/>
    <w:rsid w:val="0090284A"/>
    <w:rsid w:val="009034CC"/>
    <w:rsid w:val="00904312"/>
    <w:rsid w:val="0090485C"/>
    <w:rsid w:val="00904941"/>
    <w:rsid w:val="009049A7"/>
    <w:rsid w:val="00904E3B"/>
    <w:rsid w:val="009050F3"/>
    <w:rsid w:val="0090526B"/>
    <w:rsid w:val="00905993"/>
    <w:rsid w:val="0090654F"/>
    <w:rsid w:val="009070EA"/>
    <w:rsid w:val="00907A9C"/>
    <w:rsid w:val="00907C04"/>
    <w:rsid w:val="009119C5"/>
    <w:rsid w:val="009121D6"/>
    <w:rsid w:val="00912210"/>
    <w:rsid w:val="009128FC"/>
    <w:rsid w:val="009130D5"/>
    <w:rsid w:val="009132CB"/>
    <w:rsid w:val="009134A4"/>
    <w:rsid w:val="00914038"/>
    <w:rsid w:val="0091434C"/>
    <w:rsid w:val="0091531D"/>
    <w:rsid w:val="009159FA"/>
    <w:rsid w:val="00916E3C"/>
    <w:rsid w:val="00917B2B"/>
    <w:rsid w:val="00920E2B"/>
    <w:rsid w:val="00920ED5"/>
    <w:rsid w:val="0092210C"/>
    <w:rsid w:val="00922227"/>
    <w:rsid w:val="00922F78"/>
    <w:rsid w:val="00923C66"/>
    <w:rsid w:val="00924C5F"/>
    <w:rsid w:val="00924FD9"/>
    <w:rsid w:val="0092547E"/>
    <w:rsid w:val="0092610E"/>
    <w:rsid w:val="009306E6"/>
    <w:rsid w:val="009317D2"/>
    <w:rsid w:val="00932C80"/>
    <w:rsid w:val="00936B61"/>
    <w:rsid w:val="00937D68"/>
    <w:rsid w:val="00940633"/>
    <w:rsid w:val="0094140C"/>
    <w:rsid w:val="009418FB"/>
    <w:rsid w:val="00941965"/>
    <w:rsid w:val="00941B71"/>
    <w:rsid w:val="00942002"/>
    <w:rsid w:val="009434C2"/>
    <w:rsid w:val="00945DA2"/>
    <w:rsid w:val="00947952"/>
    <w:rsid w:val="0095279E"/>
    <w:rsid w:val="00952CF4"/>
    <w:rsid w:val="00952F48"/>
    <w:rsid w:val="00953413"/>
    <w:rsid w:val="00954C69"/>
    <w:rsid w:val="00956799"/>
    <w:rsid w:val="00957D85"/>
    <w:rsid w:val="00957F51"/>
    <w:rsid w:val="00961456"/>
    <w:rsid w:val="009618FD"/>
    <w:rsid w:val="00962948"/>
    <w:rsid w:val="00963348"/>
    <w:rsid w:val="0096384B"/>
    <w:rsid w:val="00963CDB"/>
    <w:rsid w:val="00966E02"/>
    <w:rsid w:val="009704D9"/>
    <w:rsid w:val="00970D0D"/>
    <w:rsid w:val="00970E64"/>
    <w:rsid w:val="0097125E"/>
    <w:rsid w:val="009713BA"/>
    <w:rsid w:val="00971B0B"/>
    <w:rsid w:val="00971BD8"/>
    <w:rsid w:val="00972E8C"/>
    <w:rsid w:val="00972ED0"/>
    <w:rsid w:val="00973785"/>
    <w:rsid w:val="009746C0"/>
    <w:rsid w:val="00975343"/>
    <w:rsid w:val="00975A45"/>
    <w:rsid w:val="00975EA6"/>
    <w:rsid w:val="0097678C"/>
    <w:rsid w:val="00977D58"/>
    <w:rsid w:val="00980635"/>
    <w:rsid w:val="00980824"/>
    <w:rsid w:val="0098105C"/>
    <w:rsid w:val="0098208D"/>
    <w:rsid w:val="00983C35"/>
    <w:rsid w:val="00983D0E"/>
    <w:rsid w:val="009857ED"/>
    <w:rsid w:val="00985EBB"/>
    <w:rsid w:val="00986482"/>
    <w:rsid w:val="00986852"/>
    <w:rsid w:val="00990307"/>
    <w:rsid w:val="00990BA0"/>
    <w:rsid w:val="00991521"/>
    <w:rsid w:val="009919BC"/>
    <w:rsid w:val="00992206"/>
    <w:rsid w:val="00994365"/>
    <w:rsid w:val="00994D3B"/>
    <w:rsid w:val="00995897"/>
    <w:rsid w:val="00996485"/>
    <w:rsid w:val="00996FDE"/>
    <w:rsid w:val="009A06F1"/>
    <w:rsid w:val="009A0B4F"/>
    <w:rsid w:val="009A3280"/>
    <w:rsid w:val="009A4A46"/>
    <w:rsid w:val="009A4B8D"/>
    <w:rsid w:val="009A5220"/>
    <w:rsid w:val="009A5322"/>
    <w:rsid w:val="009A6650"/>
    <w:rsid w:val="009A7226"/>
    <w:rsid w:val="009A78A9"/>
    <w:rsid w:val="009B043D"/>
    <w:rsid w:val="009B0B31"/>
    <w:rsid w:val="009B1EA8"/>
    <w:rsid w:val="009B3650"/>
    <w:rsid w:val="009B3D0A"/>
    <w:rsid w:val="009B3F16"/>
    <w:rsid w:val="009B4186"/>
    <w:rsid w:val="009B4767"/>
    <w:rsid w:val="009B4F86"/>
    <w:rsid w:val="009B5C1F"/>
    <w:rsid w:val="009B6C19"/>
    <w:rsid w:val="009B7743"/>
    <w:rsid w:val="009B77BB"/>
    <w:rsid w:val="009C107F"/>
    <w:rsid w:val="009C1AD8"/>
    <w:rsid w:val="009C1C1B"/>
    <w:rsid w:val="009C25BE"/>
    <w:rsid w:val="009C4255"/>
    <w:rsid w:val="009C6127"/>
    <w:rsid w:val="009C6FB2"/>
    <w:rsid w:val="009C721C"/>
    <w:rsid w:val="009D10FE"/>
    <w:rsid w:val="009D1516"/>
    <w:rsid w:val="009D25B8"/>
    <w:rsid w:val="009D2DA7"/>
    <w:rsid w:val="009D31DD"/>
    <w:rsid w:val="009D3A09"/>
    <w:rsid w:val="009D56C4"/>
    <w:rsid w:val="009D5BD5"/>
    <w:rsid w:val="009D5C64"/>
    <w:rsid w:val="009D62D7"/>
    <w:rsid w:val="009D6AD7"/>
    <w:rsid w:val="009D6F72"/>
    <w:rsid w:val="009D796B"/>
    <w:rsid w:val="009E019C"/>
    <w:rsid w:val="009E14E5"/>
    <w:rsid w:val="009E1885"/>
    <w:rsid w:val="009E1F72"/>
    <w:rsid w:val="009E23B1"/>
    <w:rsid w:val="009E3365"/>
    <w:rsid w:val="009E3E50"/>
    <w:rsid w:val="009E47F4"/>
    <w:rsid w:val="009E524C"/>
    <w:rsid w:val="009E7893"/>
    <w:rsid w:val="009F06BD"/>
    <w:rsid w:val="009F0973"/>
    <w:rsid w:val="009F16C3"/>
    <w:rsid w:val="009F1F33"/>
    <w:rsid w:val="009F211A"/>
    <w:rsid w:val="009F217A"/>
    <w:rsid w:val="009F2F9E"/>
    <w:rsid w:val="009F6DD8"/>
    <w:rsid w:val="009F707F"/>
    <w:rsid w:val="009F757F"/>
    <w:rsid w:val="00A002CD"/>
    <w:rsid w:val="00A00F81"/>
    <w:rsid w:val="00A01F94"/>
    <w:rsid w:val="00A02F18"/>
    <w:rsid w:val="00A037DB"/>
    <w:rsid w:val="00A0483E"/>
    <w:rsid w:val="00A07107"/>
    <w:rsid w:val="00A103CA"/>
    <w:rsid w:val="00A12766"/>
    <w:rsid w:val="00A128DE"/>
    <w:rsid w:val="00A12ED0"/>
    <w:rsid w:val="00A13911"/>
    <w:rsid w:val="00A205BA"/>
    <w:rsid w:val="00A205DA"/>
    <w:rsid w:val="00A2069C"/>
    <w:rsid w:val="00A20B0D"/>
    <w:rsid w:val="00A20F71"/>
    <w:rsid w:val="00A22A3E"/>
    <w:rsid w:val="00A24595"/>
    <w:rsid w:val="00A249F7"/>
    <w:rsid w:val="00A24A19"/>
    <w:rsid w:val="00A264E5"/>
    <w:rsid w:val="00A27A4A"/>
    <w:rsid w:val="00A27BFA"/>
    <w:rsid w:val="00A3115D"/>
    <w:rsid w:val="00A31AD7"/>
    <w:rsid w:val="00A322B7"/>
    <w:rsid w:val="00A32340"/>
    <w:rsid w:val="00A32A9C"/>
    <w:rsid w:val="00A34ED1"/>
    <w:rsid w:val="00A35E47"/>
    <w:rsid w:val="00A36208"/>
    <w:rsid w:val="00A374A4"/>
    <w:rsid w:val="00A37EFA"/>
    <w:rsid w:val="00A40570"/>
    <w:rsid w:val="00A412FD"/>
    <w:rsid w:val="00A414B3"/>
    <w:rsid w:val="00A41915"/>
    <w:rsid w:val="00A42969"/>
    <w:rsid w:val="00A43554"/>
    <w:rsid w:val="00A441A8"/>
    <w:rsid w:val="00A4471F"/>
    <w:rsid w:val="00A44837"/>
    <w:rsid w:val="00A462BA"/>
    <w:rsid w:val="00A4786B"/>
    <w:rsid w:val="00A50CFF"/>
    <w:rsid w:val="00A5126E"/>
    <w:rsid w:val="00A5246E"/>
    <w:rsid w:val="00A528A6"/>
    <w:rsid w:val="00A5359E"/>
    <w:rsid w:val="00A5404B"/>
    <w:rsid w:val="00A554D7"/>
    <w:rsid w:val="00A579FB"/>
    <w:rsid w:val="00A6241F"/>
    <w:rsid w:val="00A64AF7"/>
    <w:rsid w:val="00A64B25"/>
    <w:rsid w:val="00A67849"/>
    <w:rsid w:val="00A678DD"/>
    <w:rsid w:val="00A67A75"/>
    <w:rsid w:val="00A705B9"/>
    <w:rsid w:val="00A7176F"/>
    <w:rsid w:val="00A71AAC"/>
    <w:rsid w:val="00A72369"/>
    <w:rsid w:val="00A72B9F"/>
    <w:rsid w:val="00A73186"/>
    <w:rsid w:val="00A745A5"/>
    <w:rsid w:val="00A75F29"/>
    <w:rsid w:val="00A76044"/>
    <w:rsid w:val="00A779AA"/>
    <w:rsid w:val="00A77BA8"/>
    <w:rsid w:val="00A77D23"/>
    <w:rsid w:val="00A832F6"/>
    <w:rsid w:val="00A8344F"/>
    <w:rsid w:val="00A856D2"/>
    <w:rsid w:val="00A85725"/>
    <w:rsid w:val="00A85939"/>
    <w:rsid w:val="00A870A6"/>
    <w:rsid w:val="00A872A2"/>
    <w:rsid w:val="00A877AB"/>
    <w:rsid w:val="00A90198"/>
    <w:rsid w:val="00A91E53"/>
    <w:rsid w:val="00A92E77"/>
    <w:rsid w:val="00A930CE"/>
    <w:rsid w:val="00A94E26"/>
    <w:rsid w:val="00A9645C"/>
    <w:rsid w:val="00AA0225"/>
    <w:rsid w:val="00AA0B11"/>
    <w:rsid w:val="00AA1460"/>
    <w:rsid w:val="00AA2F0F"/>
    <w:rsid w:val="00AA35A4"/>
    <w:rsid w:val="00AA404A"/>
    <w:rsid w:val="00AA685D"/>
    <w:rsid w:val="00AA6F7D"/>
    <w:rsid w:val="00AB135C"/>
    <w:rsid w:val="00AB2341"/>
    <w:rsid w:val="00AB2687"/>
    <w:rsid w:val="00AB2BFD"/>
    <w:rsid w:val="00AB2C05"/>
    <w:rsid w:val="00AB322E"/>
    <w:rsid w:val="00AB40C2"/>
    <w:rsid w:val="00AB4659"/>
    <w:rsid w:val="00AB49F1"/>
    <w:rsid w:val="00AB5122"/>
    <w:rsid w:val="00AB5158"/>
    <w:rsid w:val="00AB598D"/>
    <w:rsid w:val="00AB7DCB"/>
    <w:rsid w:val="00AC0972"/>
    <w:rsid w:val="00AC2E40"/>
    <w:rsid w:val="00AC2E47"/>
    <w:rsid w:val="00AC37B5"/>
    <w:rsid w:val="00AC383D"/>
    <w:rsid w:val="00AC454B"/>
    <w:rsid w:val="00AC4B9E"/>
    <w:rsid w:val="00AC4C38"/>
    <w:rsid w:val="00AC4EAE"/>
    <w:rsid w:val="00AC6B87"/>
    <w:rsid w:val="00AC6E18"/>
    <w:rsid w:val="00AC786E"/>
    <w:rsid w:val="00AD0464"/>
    <w:rsid w:val="00AD080C"/>
    <w:rsid w:val="00AD3C29"/>
    <w:rsid w:val="00AD45FB"/>
    <w:rsid w:val="00AD5330"/>
    <w:rsid w:val="00AD61FC"/>
    <w:rsid w:val="00AD650A"/>
    <w:rsid w:val="00AD6548"/>
    <w:rsid w:val="00AD6A22"/>
    <w:rsid w:val="00AD7F22"/>
    <w:rsid w:val="00AE0210"/>
    <w:rsid w:val="00AE036D"/>
    <w:rsid w:val="00AE14FD"/>
    <w:rsid w:val="00AE1EBD"/>
    <w:rsid w:val="00AE259B"/>
    <w:rsid w:val="00AE471F"/>
    <w:rsid w:val="00AE52CB"/>
    <w:rsid w:val="00AF0089"/>
    <w:rsid w:val="00AF0455"/>
    <w:rsid w:val="00AF1F1D"/>
    <w:rsid w:val="00AF1F43"/>
    <w:rsid w:val="00AF2B03"/>
    <w:rsid w:val="00AF5061"/>
    <w:rsid w:val="00AF52DD"/>
    <w:rsid w:val="00AF551C"/>
    <w:rsid w:val="00AF6085"/>
    <w:rsid w:val="00AF6FE4"/>
    <w:rsid w:val="00AF728C"/>
    <w:rsid w:val="00AF7843"/>
    <w:rsid w:val="00AF7E2C"/>
    <w:rsid w:val="00B002A7"/>
    <w:rsid w:val="00B01645"/>
    <w:rsid w:val="00B0305D"/>
    <w:rsid w:val="00B04649"/>
    <w:rsid w:val="00B072EE"/>
    <w:rsid w:val="00B07725"/>
    <w:rsid w:val="00B07B0F"/>
    <w:rsid w:val="00B11EFC"/>
    <w:rsid w:val="00B12460"/>
    <w:rsid w:val="00B14511"/>
    <w:rsid w:val="00B14E5B"/>
    <w:rsid w:val="00B14ECF"/>
    <w:rsid w:val="00B1510F"/>
    <w:rsid w:val="00B164BB"/>
    <w:rsid w:val="00B222B2"/>
    <w:rsid w:val="00B22458"/>
    <w:rsid w:val="00B22CAE"/>
    <w:rsid w:val="00B232C3"/>
    <w:rsid w:val="00B23C35"/>
    <w:rsid w:val="00B25DAE"/>
    <w:rsid w:val="00B25ECE"/>
    <w:rsid w:val="00B26D2A"/>
    <w:rsid w:val="00B27883"/>
    <w:rsid w:val="00B304F4"/>
    <w:rsid w:val="00B30BDC"/>
    <w:rsid w:val="00B30CB9"/>
    <w:rsid w:val="00B31AA3"/>
    <w:rsid w:val="00B336D6"/>
    <w:rsid w:val="00B3547B"/>
    <w:rsid w:val="00B35BC5"/>
    <w:rsid w:val="00B367E1"/>
    <w:rsid w:val="00B41169"/>
    <w:rsid w:val="00B41F7E"/>
    <w:rsid w:val="00B42A79"/>
    <w:rsid w:val="00B43ED0"/>
    <w:rsid w:val="00B45C37"/>
    <w:rsid w:val="00B46BDC"/>
    <w:rsid w:val="00B46C59"/>
    <w:rsid w:val="00B47BA8"/>
    <w:rsid w:val="00B47E3F"/>
    <w:rsid w:val="00B50127"/>
    <w:rsid w:val="00B5043C"/>
    <w:rsid w:val="00B51250"/>
    <w:rsid w:val="00B52BC5"/>
    <w:rsid w:val="00B52D07"/>
    <w:rsid w:val="00B535A3"/>
    <w:rsid w:val="00B53714"/>
    <w:rsid w:val="00B53FE8"/>
    <w:rsid w:val="00B55A06"/>
    <w:rsid w:val="00B56492"/>
    <w:rsid w:val="00B576C5"/>
    <w:rsid w:val="00B6041E"/>
    <w:rsid w:val="00B6088E"/>
    <w:rsid w:val="00B616B0"/>
    <w:rsid w:val="00B617E4"/>
    <w:rsid w:val="00B62B74"/>
    <w:rsid w:val="00B62C17"/>
    <w:rsid w:val="00B63BA5"/>
    <w:rsid w:val="00B6417A"/>
    <w:rsid w:val="00B64562"/>
    <w:rsid w:val="00B64A9B"/>
    <w:rsid w:val="00B654BF"/>
    <w:rsid w:val="00B657FB"/>
    <w:rsid w:val="00B66647"/>
    <w:rsid w:val="00B67AA4"/>
    <w:rsid w:val="00B70CF8"/>
    <w:rsid w:val="00B71A49"/>
    <w:rsid w:val="00B720BC"/>
    <w:rsid w:val="00B726F4"/>
    <w:rsid w:val="00B72C2B"/>
    <w:rsid w:val="00B72FFF"/>
    <w:rsid w:val="00B74A23"/>
    <w:rsid w:val="00B75B66"/>
    <w:rsid w:val="00B7649B"/>
    <w:rsid w:val="00B76627"/>
    <w:rsid w:val="00B7696F"/>
    <w:rsid w:val="00B8094D"/>
    <w:rsid w:val="00B80F99"/>
    <w:rsid w:val="00B81A8B"/>
    <w:rsid w:val="00B823EE"/>
    <w:rsid w:val="00B8546E"/>
    <w:rsid w:val="00B86507"/>
    <w:rsid w:val="00B866D9"/>
    <w:rsid w:val="00B873B3"/>
    <w:rsid w:val="00B901FF"/>
    <w:rsid w:val="00B90798"/>
    <w:rsid w:val="00B908C9"/>
    <w:rsid w:val="00B90F98"/>
    <w:rsid w:val="00B913F8"/>
    <w:rsid w:val="00B915F7"/>
    <w:rsid w:val="00B92E77"/>
    <w:rsid w:val="00B936E6"/>
    <w:rsid w:val="00B93C92"/>
    <w:rsid w:val="00B93ED4"/>
    <w:rsid w:val="00B94613"/>
    <w:rsid w:val="00B94A59"/>
    <w:rsid w:val="00B95675"/>
    <w:rsid w:val="00B96194"/>
    <w:rsid w:val="00B9637B"/>
    <w:rsid w:val="00BA20EA"/>
    <w:rsid w:val="00BA312C"/>
    <w:rsid w:val="00BA36D0"/>
    <w:rsid w:val="00BA39FB"/>
    <w:rsid w:val="00BA415B"/>
    <w:rsid w:val="00BA4B9C"/>
    <w:rsid w:val="00BA4E95"/>
    <w:rsid w:val="00BA4EF0"/>
    <w:rsid w:val="00BA5B10"/>
    <w:rsid w:val="00BA628E"/>
    <w:rsid w:val="00BA6C07"/>
    <w:rsid w:val="00BA6C6A"/>
    <w:rsid w:val="00BA6CEB"/>
    <w:rsid w:val="00BB0E04"/>
    <w:rsid w:val="00BB0FA8"/>
    <w:rsid w:val="00BB1045"/>
    <w:rsid w:val="00BB23C9"/>
    <w:rsid w:val="00BB2C3E"/>
    <w:rsid w:val="00BB3384"/>
    <w:rsid w:val="00BB3448"/>
    <w:rsid w:val="00BB3C6D"/>
    <w:rsid w:val="00BB3DCC"/>
    <w:rsid w:val="00BB3FA7"/>
    <w:rsid w:val="00BB481B"/>
    <w:rsid w:val="00BB6210"/>
    <w:rsid w:val="00BB63F6"/>
    <w:rsid w:val="00BB6F6C"/>
    <w:rsid w:val="00BB7921"/>
    <w:rsid w:val="00BC0019"/>
    <w:rsid w:val="00BC0933"/>
    <w:rsid w:val="00BC0EE3"/>
    <w:rsid w:val="00BC1BA3"/>
    <w:rsid w:val="00BC24BB"/>
    <w:rsid w:val="00BC289F"/>
    <w:rsid w:val="00BC2C05"/>
    <w:rsid w:val="00BC324B"/>
    <w:rsid w:val="00BC34BF"/>
    <w:rsid w:val="00BC43B4"/>
    <w:rsid w:val="00BC4971"/>
    <w:rsid w:val="00BC5084"/>
    <w:rsid w:val="00BC5750"/>
    <w:rsid w:val="00BC7213"/>
    <w:rsid w:val="00BC78F7"/>
    <w:rsid w:val="00BD08E2"/>
    <w:rsid w:val="00BD0CF6"/>
    <w:rsid w:val="00BD1C18"/>
    <w:rsid w:val="00BD1F84"/>
    <w:rsid w:val="00BD2C41"/>
    <w:rsid w:val="00BD36C9"/>
    <w:rsid w:val="00BD513A"/>
    <w:rsid w:val="00BD5298"/>
    <w:rsid w:val="00BD5EAA"/>
    <w:rsid w:val="00BD6AF6"/>
    <w:rsid w:val="00BD730C"/>
    <w:rsid w:val="00BD747F"/>
    <w:rsid w:val="00BD7BBA"/>
    <w:rsid w:val="00BE003A"/>
    <w:rsid w:val="00BE0358"/>
    <w:rsid w:val="00BE09E7"/>
    <w:rsid w:val="00BE1A23"/>
    <w:rsid w:val="00BE2A4C"/>
    <w:rsid w:val="00BE2CB5"/>
    <w:rsid w:val="00BE2D23"/>
    <w:rsid w:val="00BE35D5"/>
    <w:rsid w:val="00BE37DB"/>
    <w:rsid w:val="00BE3963"/>
    <w:rsid w:val="00BE3D21"/>
    <w:rsid w:val="00BE3E74"/>
    <w:rsid w:val="00BE45CC"/>
    <w:rsid w:val="00BE4A6A"/>
    <w:rsid w:val="00BF2581"/>
    <w:rsid w:val="00BF34C5"/>
    <w:rsid w:val="00BF3D71"/>
    <w:rsid w:val="00BF5130"/>
    <w:rsid w:val="00BF57DC"/>
    <w:rsid w:val="00BF5A29"/>
    <w:rsid w:val="00BF5D51"/>
    <w:rsid w:val="00BF5D96"/>
    <w:rsid w:val="00BF6529"/>
    <w:rsid w:val="00BF6684"/>
    <w:rsid w:val="00BF71FE"/>
    <w:rsid w:val="00BF78E0"/>
    <w:rsid w:val="00BF7A38"/>
    <w:rsid w:val="00C00CF5"/>
    <w:rsid w:val="00C01088"/>
    <w:rsid w:val="00C018AD"/>
    <w:rsid w:val="00C02C54"/>
    <w:rsid w:val="00C03847"/>
    <w:rsid w:val="00C0387F"/>
    <w:rsid w:val="00C03975"/>
    <w:rsid w:val="00C049AE"/>
    <w:rsid w:val="00C0526D"/>
    <w:rsid w:val="00C060BB"/>
    <w:rsid w:val="00C07E82"/>
    <w:rsid w:val="00C1048A"/>
    <w:rsid w:val="00C10D60"/>
    <w:rsid w:val="00C11559"/>
    <w:rsid w:val="00C11A66"/>
    <w:rsid w:val="00C122AC"/>
    <w:rsid w:val="00C12876"/>
    <w:rsid w:val="00C12E96"/>
    <w:rsid w:val="00C130ED"/>
    <w:rsid w:val="00C14031"/>
    <w:rsid w:val="00C143BE"/>
    <w:rsid w:val="00C14543"/>
    <w:rsid w:val="00C1473E"/>
    <w:rsid w:val="00C14963"/>
    <w:rsid w:val="00C16C42"/>
    <w:rsid w:val="00C16E6B"/>
    <w:rsid w:val="00C2048D"/>
    <w:rsid w:val="00C2091B"/>
    <w:rsid w:val="00C20F06"/>
    <w:rsid w:val="00C214F2"/>
    <w:rsid w:val="00C2151C"/>
    <w:rsid w:val="00C22367"/>
    <w:rsid w:val="00C22B80"/>
    <w:rsid w:val="00C22EB5"/>
    <w:rsid w:val="00C2308F"/>
    <w:rsid w:val="00C24BEB"/>
    <w:rsid w:val="00C254AB"/>
    <w:rsid w:val="00C2569D"/>
    <w:rsid w:val="00C26C8C"/>
    <w:rsid w:val="00C26F2E"/>
    <w:rsid w:val="00C30F41"/>
    <w:rsid w:val="00C31146"/>
    <w:rsid w:val="00C31313"/>
    <w:rsid w:val="00C31B9D"/>
    <w:rsid w:val="00C33062"/>
    <w:rsid w:val="00C33308"/>
    <w:rsid w:val="00C35C82"/>
    <w:rsid w:val="00C3645C"/>
    <w:rsid w:val="00C365AF"/>
    <w:rsid w:val="00C367F5"/>
    <w:rsid w:val="00C40049"/>
    <w:rsid w:val="00C41097"/>
    <w:rsid w:val="00C413DA"/>
    <w:rsid w:val="00C41FBC"/>
    <w:rsid w:val="00C4261D"/>
    <w:rsid w:val="00C42ADF"/>
    <w:rsid w:val="00C4339C"/>
    <w:rsid w:val="00C43408"/>
    <w:rsid w:val="00C43B5B"/>
    <w:rsid w:val="00C44273"/>
    <w:rsid w:val="00C44304"/>
    <w:rsid w:val="00C4489E"/>
    <w:rsid w:val="00C455AC"/>
    <w:rsid w:val="00C459AE"/>
    <w:rsid w:val="00C461C8"/>
    <w:rsid w:val="00C478E9"/>
    <w:rsid w:val="00C501A7"/>
    <w:rsid w:val="00C503EE"/>
    <w:rsid w:val="00C5055F"/>
    <w:rsid w:val="00C51728"/>
    <w:rsid w:val="00C52AD9"/>
    <w:rsid w:val="00C539E3"/>
    <w:rsid w:val="00C53A10"/>
    <w:rsid w:val="00C54CA3"/>
    <w:rsid w:val="00C54CC8"/>
    <w:rsid w:val="00C56BA9"/>
    <w:rsid w:val="00C56F78"/>
    <w:rsid w:val="00C57A43"/>
    <w:rsid w:val="00C57B4A"/>
    <w:rsid w:val="00C57FFA"/>
    <w:rsid w:val="00C60E8F"/>
    <w:rsid w:val="00C61DF4"/>
    <w:rsid w:val="00C61E01"/>
    <w:rsid w:val="00C6276B"/>
    <w:rsid w:val="00C633B4"/>
    <w:rsid w:val="00C634A7"/>
    <w:rsid w:val="00C63D9A"/>
    <w:rsid w:val="00C640BE"/>
    <w:rsid w:val="00C645FA"/>
    <w:rsid w:val="00C64E75"/>
    <w:rsid w:val="00C64E90"/>
    <w:rsid w:val="00C6560B"/>
    <w:rsid w:val="00C65E6F"/>
    <w:rsid w:val="00C66FED"/>
    <w:rsid w:val="00C70188"/>
    <w:rsid w:val="00C717A6"/>
    <w:rsid w:val="00C71AE6"/>
    <w:rsid w:val="00C71E45"/>
    <w:rsid w:val="00C72B67"/>
    <w:rsid w:val="00C735C3"/>
    <w:rsid w:val="00C74386"/>
    <w:rsid w:val="00C74731"/>
    <w:rsid w:val="00C749AF"/>
    <w:rsid w:val="00C75B97"/>
    <w:rsid w:val="00C76378"/>
    <w:rsid w:val="00C76B65"/>
    <w:rsid w:val="00C76B78"/>
    <w:rsid w:val="00C77037"/>
    <w:rsid w:val="00C77B24"/>
    <w:rsid w:val="00C80534"/>
    <w:rsid w:val="00C80A64"/>
    <w:rsid w:val="00C81095"/>
    <w:rsid w:val="00C8215A"/>
    <w:rsid w:val="00C82576"/>
    <w:rsid w:val="00C84EF3"/>
    <w:rsid w:val="00C86041"/>
    <w:rsid w:val="00C86240"/>
    <w:rsid w:val="00C864B9"/>
    <w:rsid w:val="00C86E14"/>
    <w:rsid w:val="00C8776E"/>
    <w:rsid w:val="00C87D37"/>
    <w:rsid w:val="00C905CF"/>
    <w:rsid w:val="00C91E2E"/>
    <w:rsid w:val="00C92A11"/>
    <w:rsid w:val="00C93479"/>
    <w:rsid w:val="00C96496"/>
    <w:rsid w:val="00C96988"/>
    <w:rsid w:val="00CA120D"/>
    <w:rsid w:val="00CA14FC"/>
    <w:rsid w:val="00CA1FCB"/>
    <w:rsid w:val="00CA2B56"/>
    <w:rsid w:val="00CA34DD"/>
    <w:rsid w:val="00CA443F"/>
    <w:rsid w:val="00CA51C1"/>
    <w:rsid w:val="00CA553C"/>
    <w:rsid w:val="00CA55E0"/>
    <w:rsid w:val="00CA6032"/>
    <w:rsid w:val="00CA6EAF"/>
    <w:rsid w:val="00CA7327"/>
    <w:rsid w:val="00CA77ED"/>
    <w:rsid w:val="00CB0108"/>
    <w:rsid w:val="00CB0874"/>
    <w:rsid w:val="00CB101F"/>
    <w:rsid w:val="00CB12A8"/>
    <w:rsid w:val="00CB1B24"/>
    <w:rsid w:val="00CB2282"/>
    <w:rsid w:val="00CB271F"/>
    <w:rsid w:val="00CB27A5"/>
    <w:rsid w:val="00CB4516"/>
    <w:rsid w:val="00CB4569"/>
    <w:rsid w:val="00CB566E"/>
    <w:rsid w:val="00CB6195"/>
    <w:rsid w:val="00CB6219"/>
    <w:rsid w:val="00CB62B3"/>
    <w:rsid w:val="00CB63D2"/>
    <w:rsid w:val="00CB684A"/>
    <w:rsid w:val="00CB719C"/>
    <w:rsid w:val="00CB7225"/>
    <w:rsid w:val="00CC0DE0"/>
    <w:rsid w:val="00CC120B"/>
    <w:rsid w:val="00CC1493"/>
    <w:rsid w:val="00CC1DD5"/>
    <w:rsid w:val="00CC205B"/>
    <w:rsid w:val="00CC2218"/>
    <w:rsid w:val="00CC2B41"/>
    <w:rsid w:val="00CC32C1"/>
    <w:rsid w:val="00CC453B"/>
    <w:rsid w:val="00CC4633"/>
    <w:rsid w:val="00CC55C4"/>
    <w:rsid w:val="00CC5A86"/>
    <w:rsid w:val="00CC69E5"/>
    <w:rsid w:val="00CC6B15"/>
    <w:rsid w:val="00CC6E0B"/>
    <w:rsid w:val="00CC7304"/>
    <w:rsid w:val="00CC77A1"/>
    <w:rsid w:val="00CC7E60"/>
    <w:rsid w:val="00CD06D2"/>
    <w:rsid w:val="00CD1427"/>
    <w:rsid w:val="00CD19C0"/>
    <w:rsid w:val="00CD2168"/>
    <w:rsid w:val="00CD315D"/>
    <w:rsid w:val="00CD3951"/>
    <w:rsid w:val="00CD4B57"/>
    <w:rsid w:val="00CD4EBC"/>
    <w:rsid w:val="00CD4F94"/>
    <w:rsid w:val="00CD5334"/>
    <w:rsid w:val="00CD545C"/>
    <w:rsid w:val="00CD6135"/>
    <w:rsid w:val="00CD65F7"/>
    <w:rsid w:val="00CD6756"/>
    <w:rsid w:val="00CD701E"/>
    <w:rsid w:val="00CD7BCE"/>
    <w:rsid w:val="00CE00B1"/>
    <w:rsid w:val="00CE01C3"/>
    <w:rsid w:val="00CE164B"/>
    <w:rsid w:val="00CE19C7"/>
    <w:rsid w:val="00CE2080"/>
    <w:rsid w:val="00CE2384"/>
    <w:rsid w:val="00CE246B"/>
    <w:rsid w:val="00CE25E2"/>
    <w:rsid w:val="00CE2D25"/>
    <w:rsid w:val="00CE2F96"/>
    <w:rsid w:val="00CE30A8"/>
    <w:rsid w:val="00CE3519"/>
    <w:rsid w:val="00CE38B3"/>
    <w:rsid w:val="00CE3938"/>
    <w:rsid w:val="00CE4583"/>
    <w:rsid w:val="00CE46D2"/>
    <w:rsid w:val="00CE6388"/>
    <w:rsid w:val="00CE7D21"/>
    <w:rsid w:val="00CF03FB"/>
    <w:rsid w:val="00CF2C5E"/>
    <w:rsid w:val="00CF4561"/>
    <w:rsid w:val="00CF5723"/>
    <w:rsid w:val="00CF5BC8"/>
    <w:rsid w:val="00CF5E20"/>
    <w:rsid w:val="00CF71CC"/>
    <w:rsid w:val="00D0014A"/>
    <w:rsid w:val="00D009C3"/>
    <w:rsid w:val="00D0139A"/>
    <w:rsid w:val="00D01D1E"/>
    <w:rsid w:val="00D02914"/>
    <w:rsid w:val="00D02926"/>
    <w:rsid w:val="00D031C2"/>
    <w:rsid w:val="00D03D37"/>
    <w:rsid w:val="00D042AF"/>
    <w:rsid w:val="00D0590A"/>
    <w:rsid w:val="00D073A4"/>
    <w:rsid w:val="00D10379"/>
    <w:rsid w:val="00D10B38"/>
    <w:rsid w:val="00D112DA"/>
    <w:rsid w:val="00D11D27"/>
    <w:rsid w:val="00D12190"/>
    <w:rsid w:val="00D12B5E"/>
    <w:rsid w:val="00D12E7B"/>
    <w:rsid w:val="00D14608"/>
    <w:rsid w:val="00D14A53"/>
    <w:rsid w:val="00D14E50"/>
    <w:rsid w:val="00D15EB1"/>
    <w:rsid w:val="00D16276"/>
    <w:rsid w:val="00D16BEA"/>
    <w:rsid w:val="00D17892"/>
    <w:rsid w:val="00D20066"/>
    <w:rsid w:val="00D20127"/>
    <w:rsid w:val="00D20418"/>
    <w:rsid w:val="00D20CA3"/>
    <w:rsid w:val="00D20FE2"/>
    <w:rsid w:val="00D21756"/>
    <w:rsid w:val="00D23599"/>
    <w:rsid w:val="00D23F77"/>
    <w:rsid w:val="00D25423"/>
    <w:rsid w:val="00D25ECA"/>
    <w:rsid w:val="00D26954"/>
    <w:rsid w:val="00D27423"/>
    <w:rsid w:val="00D27A2A"/>
    <w:rsid w:val="00D300C0"/>
    <w:rsid w:val="00D3126F"/>
    <w:rsid w:val="00D32584"/>
    <w:rsid w:val="00D32BB6"/>
    <w:rsid w:val="00D35124"/>
    <w:rsid w:val="00D3520C"/>
    <w:rsid w:val="00D36ADA"/>
    <w:rsid w:val="00D36BB9"/>
    <w:rsid w:val="00D36CE2"/>
    <w:rsid w:val="00D377C1"/>
    <w:rsid w:val="00D37C0E"/>
    <w:rsid w:val="00D40A28"/>
    <w:rsid w:val="00D40D5C"/>
    <w:rsid w:val="00D40EED"/>
    <w:rsid w:val="00D4133E"/>
    <w:rsid w:val="00D41525"/>
    <w:rsid w:val="00D42F35"/>
    <w:rsid w:val="00D43B5E"/>
    <w:rsid w:val="00D44031"/>
    <w:rsid w:val="00D44963"/>
    <w:rsid w:val="00D44CC7"/>
    <w:rsid w:val="00D45679"/>
    <w:rsid w:val="00D45E5E"/>
    <w:rsid w:val="00D45F98"/>
    <w:rsid w:val="00D4715A"/>
    <w:rsid w:val="00D47CD9"/>
    <w:rsid w:val="00D47EF3"/>
    <w:rsid w:val="00D5013E"/>
    <w:rsid w:val="00D50A8A"/>
    <w:rsid w:val="00D513F5"/>
    <w:rsid w:val="00D51BC5"/>
    <w:rsid w:val="00D52726"/>
    <w:rsid w:val="00D5526C"/>
    <w:rsid w:val="00D55C7E"/>
    <w:rsid w:val="00D56377"/>
    <w:rsid w:val="00D571A6"/>
    <w:rsid w:val="00D5734E"/>
    <w:rsid w:val="00D57669"/>
    <w:rsid w:val="00D60010"/>
    <w:rsid w:val="00D605C5"/>
    <w:rsid w:val="00D61E59"/>
    <w:rsid w:val="00D62093"/>
    <w:rsid w:val="00D66C6A"/>
    <w:rsid w:val="00D67408"/>
    <w:rsid w:val="00D675E5"/>
    <w:rsid w:val="00D67771"/>
    <w:rsid w:val="00D67C22"/>
    <w:rsid w:val="00D67F7D"/>
    <w:rsid w:val="00D702DB"/>
    <w:rsid w:val="00D70A56"/>
    <w:rsid w:val="00D72AEB"/>
    <w:rsid w:val="00D72BA8"/>
    <w:rsid w:val="00D72F56"/>
    <w:rsid w:val="00D73115"/>
    <w:rsid w:val="00D733A2"/>
    <w:rsid w:val="00D73AB2"/>
    <w:rsid w:val="00D74DFB"/>
    <w:rsid w:val="00D77849"/>
    <w:rsid w:val="00D77A69"/>
    <w:rsid w:val="00D8006E"/>
    <w:rsid w:val="00D80EDA"/>
    <w:rsid w:val="00D810BC"/>
    <w:rsid w:val="00D81428"/>
    <w:rsid w:val="00D83455"/>
    <w:rsid w:val="00D84117"/>
    <w:rsid w:val="00D843EB"/>
    <w:rsid w:val="00D84F1F"/>
    <w:rsid w:val="00D87E1C"/>
    <w:rsid w:val="00D90D75"/>
    <w:rsid w:val="00D927E7"/>
    <w:rsid w:val="00D93152"/>
    <w:rsid w:val="00D93862"/>
    <w:rsid w:val="00D94839"/>
    <w:rsid w:val="00D955E0"/>
    <w:rsid w:val="00D964C0"/>
    <w:rsid w:val="00D96B7B"/>
    <w:rsid w:val="00D97DA8"/>
    <w:rsid w:val="00DA0427"/>
    <w:rsid w:val="00DA077C"/>
    <w:rsid w:val="00DA098F"/>
    <w:rsid w:val="00DA0A26"/>
    <w:rsid w:val="00DA2016"/>
    <w:rsid w:val="00DA2DB2"/>
    <w:rsid w:val="00DA3A5B"/>
    <w:rsid w:val="00DA3AE4"/>
    <w:rsid w:val="00DA79AE"/>
    <w:rsid w:val="00DB3E33"/>
    <w:rsid w:val="00DB4A80"/>
    <w:rsid w:val="00DB5190"/>
    <w:rsid w:val="00DB5453"/>
    <w:rsid w:val="00DB5AA2"/>
    <w:rsid w:val="00DB680A"/>
    <w:rsid w:val="00DC15F9"/>
    <w:rsid w:val="00DC2959"/>
    <w:rsid w:val="00DC38E8"/>
    <w:rsid w:val="00DC42EB"/>
    <w:rsid w:val="00DC448D"/>
    <w:rsid w:val="00DC63CA"/>
    <w:rsid w:val="00DC66BC"/>
    <w:rsid w:val="00DC76C1"/>
    <w:rsid w:val="00DD31D9"/>
    <w:rsid w:val="00DD4B26"/>
    <w:rsid w:val="00DD5653"/>
    <w:rsid w:val="00DD59F9"/>
    <w:rsid w:val="00DD61FB"/>
    <w:rsid w:val="00DD6A57"/>
    <w:rsid w:val="00DD77B4"/>
    <w:rsid w:val="00DD7ABD"/>
    <w:rsid w:val="00DE1DD5"/>
    <w:rsid w:val="00DE1F7A"/>
    <w:rsid w:val="00DE2387"/>
    <w:rsid w:val="00DE32C4"/>
    <w:rsid w:val="00DE3A6D"/>
    <w:rsid w:val="00DE49F7"/>
    <w:rsid w:val="00DE4A7C"/>
    <w:rsid w:val="00DE58E7"/>
    <w:rsid w:val="00DE5A38"/>
    <w:rsid w:val="00DE5B16"/>
    <w:rsid w:val="00DE628C"/>
    <w:rsid w:val="00DF05CD"/>
    <w:rsid w:val="00DF17D8"/>
    <w:rsid w:val="00DF1B90"/>
    <w:rsid w:val="00DF259A"/>
    <w:rsid w:val="00DF2E70"/>
    <w:rsid w:val="00DF331A"/>
    <w:rsid w:val="00DF3A39"/>
    <w:rsid w:val="00DF4048"/>
    <w:rsid w:val="00DF4215"/>
    <w:rsid w:val="00DF4FB2"/>
    <w:rsid w:val="00DF59C0"/>
    <w:rsid w:val="00DF5FAB"/>
    <w:rsid w:val="00DF72AB"/>
    <w:rsid w:val="00DF7699"/>
    <w:rsid w:val="00E0062E"/>
    <w:rsid w:val="00E007EA"/>
    <w:rsid w:val="00E02BA9"/>
    <w:rsid w:val="00E02F26"/>
    <w:rsid w:val="00E03994"/>
    <w:rsid w:val="00E03CD5"/>
    <w:rsid w:val="00E03DDB"/>
    <w:rsid w:val="00E041A7"/>
    <w:rsid w:val="00E04379"/>
    <w:rsid w:val="00E04AA9"/>
    <w:rsid w:val="00E05C9B"/>
    <w:rsid w:val="00E06D03"/>
    <w:rsid w:val="00E06DDF"/>
    <w:rsid w:val="00E07247"/>
    <w:rsid w:val="00E07FDF"/>
    <w:rsid w:val="00E10081"/>
    <w:rsid w:val="00E10CE7"/>
    <w:rsid w:val="00E12863"/>
    <w:rsid w:val="00E130BA"/>
    <w:rsid w:val="00E13A3A"/>
    <w:rsid w:val="00E14B3D"/>
    <w:rsid w:val="00E15192"/>
    <w:rsid w:val="00E1563A"/>
    <w:rsid w:val="00E16320"/>
    <w:rsid w:val="00E163F3"/>
    <w:rsid w:val="00E16D43"/>
    <w:rsid w:val="00E171DF"/>
    <w:rsid w:val="00E17D15"/>
    <w:rsid w:val="00E17D5A"/>
    <w:rsid w:val="00E20F5D"/>
    <w:rsid w:val="00E20FBF"/>
    <w:rsid w:val="00E2137B"/>
    <w:rsid w:val="00E2169A"/>
    <w:rsid w:val="00E21DA0"/>
    <w:rsid w:val="00E232E5"/>
    <w:rsid w:val="00E2364E"/>
    <w:rsid w:val="00E240F2"/>
    <w:rsid w:val="00E24898"/>
    <w:rsid w:val="00E25441"/>
    <w:rsid w:val="00E2654A"/>
    <w:rsid w:val="00E30085"/>
    <w:rsid w:val="00E3066E"/>
    <w:rsid w:val="00E30DE2"/>
    <w:rsid w:val="00E30F69"/>
    <w:rsid w:val="00E318A8"/>
    <w:rsid w:val="00E31D76"/>
    <w:rsid w:val="00E31F13"/>
    <w:rsid w:val="00E32649"/>
    <w:rsid w:val="00E32C4B"/>
    <w:rsid w:val="00E33068"/>
    <w:rsid w:val="00E339DD"/>
    <w:rsid w:val="00E34150"/>
    <w:rsid w:val="00E34709"/>
    <w:rsid w:val="00E35BD0"/>
    <w:rsid w:val="00E36D25"/>
    <w:rsid w:val="00E40D42"/>
    <w:rsid w:val="00E40E43"/>
    <w:rsid w:val="00E43E8E"/>
    <w:rsid w:val="00E44E74"/>
    <w:rsid w:val="00E4617E"/>
    <w:rsid w:val="00E4744A"/>
    <w:rsid w:val="00E474F4"/>
    <w:rsid w:val="00E4751C"/>
    <w:rsid w:val="00E5048A"/>
    <w:rsid w:val="00E514A1"/>
    <w:rsid w:val="00E51830"/>
    <w:rsid w:val="00E52D94"/>
    <w:rsid w:val="00E52DA8"/>
    <w:rsid w:val="00E53075"/>
    <w:rsid w:val="00E5494E"/>
    <w:rsid w:val="00E55209"/>
    <w:rsid w:val="00E553CA"/>
    <w:rsid w:val="00E56775"/>
    <w:rsid w:val="00E5726E"/>
    <w:rsid w:val="00E61696"/>
    <w:rsid w:val="00E6207D"/>
    <w:rsid w:val="00E62377"/>
    <w:rsid w:val="00E623AA"/>
    <w:rsid w:val="00E623EC"/>
    <w:rsid w:val="00E62741"/>
    <w:rsid w:val="00E63B1A"/>
    <w:rsid w:val="00E64F26"/>
    <w:rsid w:val="00E65190"/>
    <w:rsid w:val="00E6542B"/>
    <w:rsid w:val="00E65C4D"/>
    <w:rsid w:val="00E66729"/>
    <w:rsid w:val="00E6699E"/>
    <w:rsid w:val="00E6738E"/>
    <w:rsid w:val="00E67B93"/>
    <w:rsid w:val="00E7074F"/>
    <w:rsid w:val="00E72EA7"/>
    <w:rsid w:val="00E74B2E"/>
    <w:rsid w:val="00E75003"/>
    <w:rsid w:val="00E754B3"/>
    <w:rsid w:val="00E75F6E"/>
    <w:rsid w:val="00E76174"/>
    <w:rsid w:val="00E776EE"/>
    <w:rsid w:val="00E80AFE"/>
    <w:rsid w:val="00E81350"/>
    <w:rsid w:val="00E81635"/>
    <w:rsid w:val="00E817AE"/>
    <w:rsid w:val="00E81A60"/>
    <w:rsid w:val="00E82930"/>
    <w:rsid w:val="00E82E62"/>
    <w:rsid w:val="00E8390E"/>
    <w:rsid w:val="00E84402"/>
    <w:rsid w:val="00E8498A"/>
    <w:rsid w:val="00E84AFD"/>
    <w:rsid w:val="00E85282"/>
    <w:rsid w:val="00E85A46"/>
    <w:rsid w:val="00E85FC7"/>
    <w:rsid w:val="00E86A70"/>
    <w:rsid w:val="00E87300"/>
    <w:rsid w:val="00E87AA6"/>
    <w:rsid w:val="00E90B68"/>
    <w:rsid w:val="00E9258C"/>
    <w:rsid w:val="00E92F78"/>
    <w:rsid w:val="00E9485F"/>
    <w:rsid w:val="00E95DDA"/>
    <w:rsid w:val="00E96182"/>
    <w:rsid w:val="00E965E0"/>
    <w:rsid w:val="00E968A8"/>
    <w:rsid w:val="00E97409"/>
    <w:rsid w:val="00EA1240"/>
    <w:rsid w:val="00EA2E20"/>
    <w:rsid w:val="00EA35DA"/>
    <w:rsid w:val="00EA3DDC"/>
    <w:rsid w:val="00EA5ED1"/>
    <w:rsid w:val="00EA6F2C"/>
    <w:rsid w:val="00EA71A7"/>
    <w:rsid w:val="00EA7D07"/>
    <w:rsid w:val="00EB072C"/>
    <w:rsid w:val="00EB0F07"/>
    <w:rsid w:val="00EB12E5"/>
    <w:rsid w:val="00EB2195"/>
    <w:rsid w:val="00EB25BC"/>
    <w:rsid w:val="00EB414F"/>
    <w:rsid w:val="00EB450C"/>
    <w:rsid w:val="00EB4D59"/>
    <w:rsid w:val="00EB4F66"/>
    <w:rsid w:val="00EB5104"/>
    <w:rsid w:val="00EB5C18"/>
    <w:rsid w:val="00EB6C2F"/>
    <w:rsid w:val="00EB6EC9"/>
    <w:rsid w:val="00EB6F4A"/>
    <w:rsid w:val="00EB73B2"/>
    <w:rsid w:val="00EB7A3D"/>
    <w:rsid w:val="00EC0748"/>
    <w:rsid w:val="00EC0D54"/>
    <w:rsid w:val="00EC0F9B"/>
    <w:rsid w:val="00EC39C2"/>
    <w:rsid w:val="00EC3CBF"/>
    <w:rsid w:val="00EC3FB4"/>
    <w:rsid w:val="00EC451A"/>
    <w:rsid w:val="00EC45B1"/>
    <w:rsid w:val="00EC53E8"/>
    <w:rsid w:val="00EC5A64"/>
    <w:rsid w:val="00EC7893"/>
    <w:rsid w:val="00EC78D7"/>
    <w:rsid w:val="00ED1BB4"/>
    <w:rsid w:val="00ED1F31"/>
    <w:rsid w:val="00ED20FE"/>
    <w:rsid w:val="00ED215E"/>
    <w:rsid w:val="00ED25A2"/>
    <w:rsid w:val="00ED2978"/>
    <w:rsid w:val="00ED306B"/>
    <w:rsid w:val="00ED5215"/>
    <w:rsid w:val="00ED6304"/>
    <w:rsid w:val="00ED7BA9"/>
    <w:rsid w:val="00ED7E52"/>
    <w:rsid w:val="00EE0E44"/>
    <w:rsid w:val="00EE0F67"/>
    <w:rsid w:val="00EE1EAF"/>
    <w:rsid w:val="00EE20AA"/>
    <w:rsid w:val="00EE25C0"/>
    <w:rsid w:val="00EE2622"/>
    <w:rsid w:val="00EE2738"/>
    <w:rsid w:val="00EE60EC"/>
    <w:rsid w:val="00EE7C3D"/>
    <w:rsid w:val="00EF001E"/>
    <w:rsid w:val="00EF0285"/>
    <w:rsid w:val="00EF0677"/>
    <w:rsid w:val="00EF1557"/>
    <w:rsid w:val="00EF2B80"/>
    <w:rsid w:val="00EF31C1"/>
    <w:rsid w:val="00EF402A"/>
    <w:rsid w:val="00EF5999"/>
    <w:rsid w:val="00EF787F"/>
    <w:rsid w:val="00F020EE"/>
    <w:rsid w:val="00F03053"/>
    <w:rsid w:val="00F036CB"/>
    <w:rsid w:val="00F07042"/>
    <w:rsid w:val="00F0763B"/>
    <w:rsid w:val="00F07FA2"/>
    <w:rsid w:val="00F10186"/>
    <w:rsid w:val="00F10D22"/>
    <w:rsid w:val="00F11144"/>
    <w:rsid w:val="00F140B4"/>
    <w:rsid w:val="00F142A5"/>
    <w:rsid w:val="00F146E8"/>
    <w:rsid w:val="00F15466"/>
    <w:rsid w:val="00F16715"/>
    <w:rsid w:val="00F16D73"/>
    <w:rsid w:val="00F17075"/>
    <w:rsid w:val="00F17455"/>
    <w:rsid w:val="00F20058"/>
    <w:rsid w:val="00F23499"/>
    <w:rsid w:val="00F254C6"/>
    <w:rsid w:val="00F2588E"/>
    <w:rsid w:val="00F25D7B"/>
    <w:rsid w:val="00F27352"/>
    <w:rsid w:val="00F27454"/>
    <w:rsid w:val="00F27CFD"/>
    <w:rsid w:val="00F27F45"/>
    <w:rsid w:val="00F30836"/>
    <w:rsid w:val="00F310E2"/>
    <w:rsid w:val="00F32D9C"/>
    <w:rsid w:val="00F32ED7"/>
    <w:rsid w:val="00F33333"/>
    <w:rsid w:val="00F333A8"/>
    <w:rsid w:val="00F33C99"/>
    <w:rsid w:val="00F3538C"/>
    <w:rsid w:val="00F37BB2"/>
    <w:rsid w:val="00F40514"/>
    <w:rsid w:val="00F405AE"/>
    <w:rsid w:val="00F421F2"/>
    <w:rsid w:val="00F42B22"/>
    <w:rsid w:val="00F430CD"/>
    <w:rsid w:val="00F43161"/>
    <w:rsid w:val="00F4338B"/>
    <w:rsid w:val="00F43E22"/>
    <w:rsid w:val="00F44543"/>
    <w:rsid w:val="00F462C5"/>
    <w:rsid w:val="00F47A40"/>
    <w:rsid w:val="00F47DB2"/>
    <w:rsid w:val="00F54C6C"/>
    <w:rsid w:val="00F56775"/>
    <w:rsid w:val="00F56C69"/>
    <w:rsid w:val="00F578CC"/>
    <w:rsid w:val="00F57D17"/>
    <w:rsid w:val="00F617FF"/>
    <w:rsid w:val="00F6197C"/>
    <w:rsid w:val="00F62448"/>
    <w:rsid w:val="00F62547"/>
    <w:rsid w:val="00F629CD"/>
    <w:rsid w:val="00F647F8"/>
    <w:rsid w:val="00F64DF9"/>
    <w:rsid w:val="00F650FB"/>
    <w:rsid w:val="00F66004"/>
    <w:rsid w:val="00F66014"/>
    <w:rsid w:val="00F7058C"/>
    <w:rsid w:val="00F71184"/>
    <w:rsid w:val="00F72198"/>
    <w:rsid w:val="00F72B65"/>
    <w:rsid w:val="00F73E01"/>
    <w:rsid w:val="00F75177"/>
    <w:rsid w:val="00F75451"/>
    <w:rsid w:val="00F76065"/>
    <w:rsid w:val="00F76AB3"/>
    <w:rsid w:val="00F77D43"/>
    <w:rsid w:val="00F817BF"/>
    <w:rsid w:val="00F827BF"/>
    <w:rsid w:val="00F82FA1"/>
    <w:rsid w:val="00F831D5"/>
    <w:rsid w:val="00F83C1C"/>
    <w:rsid w:val="00F84133"/>
    <w:rsid w:val="00F862F6"/>
    <w:rsid w:val="00F86B0D"/>
    <w:rsid w:val="00F91A41"/>
    <w:rsid w:val="00F91A4A"/>
    <w:rsid w:val="00F92B79"/>
    <w:rsid w:val="00F92E0C"/>
    <w:rsid w:val="00F932AF"/>
    <w:rsid w:val="00F93B03"/>
    <w:rsid w:val="00F95B24"/>
    <w:rsid w:val="00F95F2B"/>
    <w:rsid w:val="00F96D5D"/>
    <w:rsid w:val="00F96F25"/>
    <w:rsid w:val="00F97137"/>
    <w:rsid w:val="00FA019F"/>
    <w:rsid w:val="00FA07BF"/>
    <w:rsid w:val="00FA0FD2"/>
    <w:rsid w:val="00FA1CA5"/>
    <w:rsid w:val="00FA2278"/>
    <w:rsid w:val="00FA2F16"/>
    <w:rsid w:val="00FA43C6"/>
    <w:rsid w:val="00FA58ED"/>
    <w:rsid w:val="00FA5F30"/>
    <w:rsid w:val="00FA6237"/>
    <w:rsid w:val="00FB24FB"/>
    <w:rsid w:val="00FB2651"/>
    <w:rsid w:val="00FB2A9A"/>
    <w:rsid w:val="00FB2BC8"/>
    <w:rsid w:val="00FB4193"/>
    <w:rsid w:val="00FB63C8"/>
    <w:rsid w:val="00FB63E0"/>
    <w:rsid w:val="00FB65EE"/>
    <w:rsid w:val="00FB6D12"/>
    <w:rsid w:val="00FB7231"/>
    <w:rsid w:val="00FB7246"/>
    <w:rsid w:val="00FB768C"/>
    <w:rsid w:val="00FC02A3"/>
    <w:rsid w:val="00FC0D15"/>
    <w:rsid w:val="00FC10E4"/>
    <w:rsid w:val="00FC2676"/>
    <w:rsid w:val="00FC26CD"/>
    <w:rsid w:val="00FC271D"/>
    <w:rsid w:val="00FC3086"/>
    <w:rsid w:val="00FC3417"/>
    <w:rsid w:val="00FC402F"/>
    <w:rsid w:val="00FC4C08"/>
    <w:rsid w:val="00FC52EC"/>
    <w:rsid w:val="00FC5789"/>
    <w:rsid w:val="00FC6ECE"/>
    <w:rsid w:val="00FC7894"/>
    <w:rsid w:val="00FD0CCB"/>
    <w:rsid w:val="00FD11DA"/>
    <w:rsid w:val="00FD1276"/>
    <w:rsid w:val="00FD3F8E"/>
    <w:rsid w:val="00FD4137"/>
    <w:rsid w:val="00FD435B"/>
    <w:rsid w:val="00FD6187"/>
    <w:rsid w:val="00FD6364"/>
    <w:rsid w:val="00FD6A98"/>
    <w:rsid w:val="00FD7EEF"/>
    <w:rsid w:val="00FE089F"/>
    <w:rsid w:val="00FE1D23"/>
    <w:rsid w:val="00FE3DBF"/>
    <w:rsid w:val="00FE4C6D"/>
    <w:rsid w:val="00FE64A4"/>
    <w:rsid w:val="00FE64E9"/>
    <w:rsid w:val="00FE735E"/>
    <w:rsid w:val="00FE76E6"/>
    <w:rsid w:val="00FF0520"/>
    <w:rsid w:val="00FF1460"/>
    <w:rsid w:val="00FF2FC7"/>
    <w:rsid w:val="00FF38C8"/>
    <w:rsid w:val="00FF471D"/>
    <w:rsid w:val="00FF5ED4"/>
    <w:rsid w:val="014D043F"/>
    <w:rsid w:val="016043AA"/>
    <w:rsid w:val="049B245F"/>
    <w:rsid w:val="04BA2023"/>
    <w:rsid w:val="079C1EB4"/>
    <w:rsid w:val="0A310FDA"/>
    <w:rsid w:val="0B8B2645"/>
    <w:rsid w:val="0F3D41E6"/>
    <w:rsid w:val="0F7A4F0C"/>
    <w:rsid w:val="12217C3C"/>
    <w:rsid w:val="12EC3955"/>
    <w:rsid w:val="13405DF4"/>
    <w:rsid w:val="13584A45"/>
    <w:rsid w:val="142238F7"/>
    <w:rsid w:val="16306D74"/>
    <w:rsid w:val="165D1BF1"/>
    <w:rsid w:val="16F80060"/>
    <w:rsid w:val="173E08D1"/>
    <w:rsid w:val="17FD699F"/>
    <w:rsid w:val="186453D5"/>
    <w:rsid w:val="1CA63B3A"/>
    <w:rsid w:val="1E366A68"/>
    <w:rsid w:val="20A20EAC"/>
    <w:rsid w:val="21742AA5"/>
    <w:rsid w:val="21DE7DE2"/>
    <w:rsid w:val="22325497"/>
    <w:rsid w:val="24287F09"/>
    <w:rsid w:val="24FA77F0"/>
    <w:rsid w:val="271B299E"/>
    <w:rsid w:val="2756664D"/>
    <w:rsid w:val="27CC5901"/>
    <w:rsid w:val="29BC13EC"/>
    <w:rsid w:val="2B2F075F"/>
    <w:rsid w:val="2C35005E"/>
    <w:rsid w:val="2E214B8D"/>
    <w:rsid w:val="30FD4260"/>
    <w:rsid w:val="30FF6E8C"/>
    <w:rsid w:val="33634843"/>
    <w:rsid w:val="349579C8"/>
    <w:rsid w:val="3675284D"/>
    <w:rsid w:val="36EF2FD7"/>
    <w:rsid w:val="39355C80"/>
    <w:rsid w:val="3AD216C0"/>
    <w:rsid w:val="3B841F3B"/>
    <w:rsid w:val="3C1F576C"/>
    <w:rsid w:val="3C362DB8"/>
    <w:rsid w:val="3C9B3F0D"/>
    <w:rsid w:val="3E9B6DCB"/>
    <w:rsid w:val="3F8A61EF"/>
    <w:rsid w:val="40A9648B"/>
    <w:rsid w:val="40FD1AE8"/>
    <w:rsid w:val="411D2CB3"/>
    <w:rsid w:val="429936E1"/>
    <w:rsid w:val="44614003"/>
    <w:rsid w:val="459D5F2E"/>
    <w:rsid w:val="46AF33D5"/>
    <w:rsid w:val="46DF1DB8"/>
    <w:rsid w:val="475758FD"/>
    <w:rsid w:val="47DA612F"/>
    <w:rsid w:val="486A50DB"/>
    <w:rsid w:val="489A776F"/>
    <w:rsid w:val="49207CC8"/>
    <w:rsid w:val="4CA05B6E"/>
    <w:rsid w:val="4F493C9D"/>
    <w:rsid w:val="507B60D8"/>
    <w:rsid w:val="557F49F1"/>
    <w:rsid w:val="55CB02E7"/>
    <w:rsid w:val="57285CE2"/>
    <w:rsid w:val="5BB332CD"/>
    <w:rsid w:val="5C8C2796"/>
    <w:rsid w:val="5D2A46EA"/>
    <w:rsid w:val="5D3D2DFE"/>
    <w:rsid w:val="5E2F0B7F"/>
    <w:rsid w:val="5F5F09D0"/>
    <w:rsid w:val="5FEB1311"/>
    <w:rsid w:val="60741128"/>
    <w:rsid w:val="607741E0"/>
    <w:rsid w:val="637D0C41"/>
    <w:rsid w:val="68452001"/>
    <w:rsid w:val="686F7E78"/>
    <w:rsid w:val="688D6550"/>
    <w:rsid w:val="69474951"/>
    <w:rsid w:val="6D304611"/>
    <w:rsid w:val="6EAE375F"/>
    <w:rsid w:val="6FA132F7"/>
    <w:rsid w:val="70F74BCF"/>
    <w:rsid w:val="72D754C1"/>
    <w:rsid w:val="74FF07D6"/>
    <w:rsid w:val="75297256"/>
    <w:rsid w:val="75A54855"/>
    <w:rsid w:val="75B3446A"/>
    <w:rsid w:val="7649264C"/>
    <w:rsid w:val="78604FA1"/>
    <w:rsid w:val="78D40079"/>
    <w:rsid w:val="7BFA41C1"/>
    <w:rsid w:val="7C4E4B6E"/>
    <w:rsid w:val="7C59556B"/>
    <w:rsid w:val="7C8A3EB1"/>
    <w:rsid w:val="7CB8524F"/>
    <w:rsid w:val="7D1172F8"/>
    <w:rsid w:val="7F15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snapToGrid w:val="0"/>
      <w:outlineLvl w:val="0"/>
    </w:pPr>
    <w:rPr>
      <w:rFonts w:ascii="黑体" w:hAnsi="宋体" w:eastAsia="黑体"/>
      <w:color w:val="000000"/>
    </w:rPr>
  </w:style>
  <w:style w:type="paragraph" w:styleId="3">
    <w:name w:val="heading 2"/>
    <w:basedOn w:val="1"/>
    <w:next w:val="1"/>
    <w:qFormat/>
    <w:uiPriority w:val="0"/>
    <w:pPr>
      <w:keepNext/>
      <w:keepLines/>
      <w:snapToGrid w:val="0"/>
      <w:spacing w:line="360" w:lineRule="auto"/>
      <w:outlineLvl w:val="1"/>
    </w:pPr>
    <w:rPr>
      <w:rFonts w:ascii="宋体" w:hAnsi="宋体" w:eastAsia="Times New Roman"/>
      <w:bCs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b/>
      <w:bCs/>
      <w:szCs w:val="32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semiHidden/>
    <w:qFormat/>
    <w:uiPriority w:val="0"/>
    <w:pPr>
      <w:ind w:left="2520" w:leftChars="1200"/>
    </w:pPr>
  </w:style>
  <w:style w:type="paragraph" w:styleId="6">
    <w:name w:val="Document Map"/>
    <w:basedOn w:val="1"/>
    <w:semiHidden/>
    <w:uiPriority w:val="0"/>
    <w:pPr>
      <w:shd w:val="clear" w:color="auto" w:fill="000080"/>
    </w:pPr>
  </w:style>
  <w:style w:type="paragraph" w:styleId="7">
    <w:name w:val="Body Text Indent"/>
    <w:basedOn w:val="1"/>
    <w:qFormat/>
    <w:uiPriority w:val="0"/>
    <w:pPr>
      <w:spacing w:line="440" w:lineRule="atLeast"/>
      <w:ind w:firstLine="525"/>
    </w:pPr>
  </w:style>
  <w:style w:type="paragraph" w:styleId="8">
    <w:name w:val="toc 5"/>
    <w:basedOn w:val="1"/>
    <w:next w:val="1"/>
    <w:semiHidden/>
    <w:qFormat/>
    <w:uiPriority w:val="0"/>
    <w:pPr>
      <w:ind w:left="1680" w:leftChars="800"/>
    </w:pPr>
  </w:style>
  <w:style w:type="paragraph" w:styleId="9">
    <w:name w:val="toc 3"/>
    <w:basedOn w:val="1"/>
    <w:next w:val="1"/>
    <w:qFormat/>
    <w:uiPriority w:val="39"/>
    <w:pPr>
      <w:ind w:left="840" w:leftChars="400"/>
    </w:pPr>
  </w:style>
  <w:style w:type="paragraph" w:styleId="10">
    <w:name w:val="toc 8"/>
    <w:basedOn w:val="1"/>
    <w:next w:val="1"/>
    <w:semiHidden/>
    <w:qFormat/>
    <w:uiPriority w:val="0"/>
    <w:pPr>
      <w:ind w:left="2940" w:leftChars="1400"/>
    </w:pPr>
  </w:style>
  <w:style w:type="paragraph" w:styleId="11">
    <w:name w:val="Date"/>
    <w:basedOn w:val="1"/>
    <w:next w:val="1"/>
    <w:qFormat/>
    <w:uiPriority w:val="0"/>
    <w:rPr>
      <w:rFonts w:ascii="黑体"/>
      <w:szCs w:val="20"/>
    </w:rPr>
  </w:style>
  <w:style w:type="paragraph" w:styleId="12">
    <w:name w:val="Body Text Indent 2"/>
    <w:basedOn w:val="1"/>
    <w:qFormat/>
    <w:uiPriority w:val="0"/>
    <w:pPr>
      <w:spacing w:line="360" w:lineRule="auto"/>
      <w:ind w:firstLine="480" w:firstLineChars="200"/>
    </w:pPr>
    <w:rPr>
      <w:rFonts w:ascii="宋体" w:hAnsi="宋体"/>
    </w:rPr>
  </w:style>
  <w:style w:type="paragraph" w:styleId="13">
    <w:name w:val="Balloon Text"/>
    <w:basedOn w:val="1"/>
    <w:semiHidden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tabs>
        <w:tab w:val="right" w:leader="dot" w:pos="8302"/>
      </w:tabs>
      <w:jc w:val="center"/>
    </w:pPr>
    <w:rPr>
      <w:rFonts w:hAnsi="宋体"/>
      <w:b/>
      <w:color w:val="000000"/>
      <w:szCs w:val="21"/>
    </w:rPr>
  </w:style>
  <w:style w:type="paragraph" w:styleId="17">
    <w:name w:val="toc 4"/>
    <w:basedOn w:val="1"/>
    <w:next w:val="1"/>
    <w:semiHidden/>
    <w:qFormat/>
    <w:uiPriority w:val="0"/>
    <w:pPr>
      <w:ind w:left="1260" w:leftChars="600"/>
    </w:pPr>
  </w:style>
  <w:style w:type="paragraph" w:styleId="18">
    <w:name w:val="toc 6"/>
    <w:basedOn w:val="1"/>
    <w:next w:val="1"/>
    <w:semiHidden/>
    <w:qFormat/>
    <w:uiPriority w:val="0"/>
    <w:pPr>
      <w:ind w:left="2100" w:leftChars="1000"/>
    </w:pPr>
  </w:style>
  <w:style w:type="paragraph" w:styleId="19">
    <w:name w:val="toc 2"/>
    <w:basedOn w:val="1"/>
    <w:next w:val="1"/>
    <w:qFormat/>
    <w:uiPriority w:val="39"/>
    <w:pPr>
      <w:tabs>
        <w:tab w:val="right" w:leader="dot" w:pos="8302"/>
      </w:tabs>
    </w:pPr>
    <w:rPr>
      <w:bCs/>
    </w:rPr>
  </w:style>
  <w:style w:type="paragraph" w:styleId="20">
    <w:name w:val="toc 9"/>
    <w:basedOn w:val="1"/>
    <w:next w:val="1"/>
    <w:semiHidden/>
    <w:qFormat/>
    <w:uiPriority w:val="0"/>
    <w:pPr>
      <w:ind w:left="3360" w:leftChars="1600"/>
    </w:pPr>
  </w:style>
  <w:style w:type="paragraph" w:styleId="21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qFormat/>
    <w:uiPriority w:val="0"/>
    <w:rPr>
      <w:b/>
      <w:bCs/>
    </w:rPr>
  </w:style>
  <w:style w:type="character" w:styleId="26">
    <w:name w:val="page number"/>
    <w:qFormat/>
    <w:uiPriority w:val="0"/>
  </w:style>
  <w:style w:type="character" w:styleId="27">
    <w:name w:val="Hyperlink"/>
    <w:qFormat/>
    <w:uiPriority w:val="99"/>
    <w:rPr>
      <w:color w:val="0000FF"/>
      <w:u w:val="single"/>
    </w:rPr>
  </w:style>
  <w:style w:type="character" w:customStyle="1" w:styleId="28">
    <w:name w:val="标题 1 Char"/>
    <w:link w:val="2"/>
    <w:qFormat/>
    <w:uiPriority w:val="0"/>
    <w:rPr>
      <w:rFonts w:ascii="黑体" w:hAnsi="宋体" w:eastAsia="黑体"/>
      <w:color w:val="000000"/>
      <w:kern w:val="2"/>
      <w:sz w:val="24"/>
      <w:szCs w:val="24"/>
      <w:lang w:val="en-US" w:eastAsia="zh-CN" w:bidi="ar-SA"/>
    </w:rPr>
  </w:style>
  <w:style w:type="paragraph" w:customStyle="1" w:styleId="29">
    <w:name w:val="Char Char3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Cs w:val="20"/>
      <w:lang w:eastAsia="en-US"/>
    </w:rPr>
  </w:style>
  <w:style w:type="character" w:customStyle="1" w:styleId="30">
    <w:name w:val="short_text"/>
    <w:qFormat/>
    <w:uiPriority w:val="0"/>
  </w:style>
  <w:style w:type="paragraph" w:styleId="3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样式4"/>
    <w:basedOn w:val="1"/>
    <w:link w:val="33"/>
    <w:qFormat/>
    <w:uiPriority w:val="0"/>
    <w:pPr>
      <w:spacing w:line="360" w:lineRule="auto"/>
    </w:pPr>
  </w:style>
  <w:style w:type="character" w:customStyle="1" w:styleId="33">
    <w:name w:val="样式4 Char"/>
    <w:link w:val="32"/>
    <w:qFormat/>
    <w:uiPriority w:val="0"/>
    <w:rPr>
      <w:kern w:val="2"/>
      <w:sz w:val="24"/>
      <w:szCs w:val="24"/>
    </w:rPr>
  </w:style>
  <w:style w:type="paragraph" w:customStyle="1" w:styleId="34">
    <w:name w:val="TOC Heading"/>
    <w:basedOn w:val="2"/>
    <w:next w:val="1"/>
    <w:qFormat/>
    <w:uiPriority w:val="39"/>
    <w:pPr>
      <w:keepLines/>
      <w:widowControl/>
      <w:snapToGrid/>
      <w:spacing w:before="240" w:line="259" w:lineRule="auto"/>
      <w:jc w:val="left"/>
      <w:outlineLvl w:val="9"/>
    </w:pPr>
    <w:rPr>
      <w:rFonts w:ascii="等线 Light" w:hAnsi="等线 Light" w:eastAsia="等线 Light"/>
      <w:color w:val="2F5496"/>
      <w:kern w:val="0"/>
      <w:sz w:val="32"/>
      <w:szCs w:val="32"/>
    </w:rPr>
  </w:style>
  <w:style w:type="paragraph" w:customStyle="1" w:styleId="35">
    <w:name w:val="Body text|2"/>
    <w:basedOn w:val="1"/>
    <w:qFormat/>
    <w:uiPriority w:val="0"/>
    <w:pPr>
      <w:spacing w:after="320"/>
      <w:ind w:firstLine="130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36">
    <w:name w:val="SPIE reference listing"/>
    <w:basedOn w:val="1"/>
    <w:qFormat/>
    <w:uiPriority w:val="99"/>
    <w:pPr>
      <w:widowControl/>
      <w:tabs>
        <w:tab w:val="left" w:pos="360"/>
      </w:tabs>
      <w:ind w:left="360" w:hanging="360"/>
    </w:pPr>
    <w:rPr>
      <w:kern w:val="0"/>
      <w:sz w:val="20"/>
      <w:szCs w:val="20"/>
      <w:lang w:eastAsia="en-US"/>
    </w:rPr>
  </w:style>
  <w:style w:type="paragraph" w:customStyle="1" w:styleId="37">
    <w:name w:val="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Cs w:val="20"/>
      <w:lang w:eastAsia="en-US"/>
    </w:rPr>
  </w:style>
  <w:style w:type="character" w:styleId="38">
    <w:name w:val="Placeholder Text"/>
    <w:basedOn w:val="24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7" Type="http://schemas.openxmlformats.org/officeDocument/2006/relationships/fontTable" Target="fontTable.xml"/><Relationship Id="rId86" Type="http://schemas.openxmlformats.org/officeDocument/2006/relationships/customXml" Target="../customXml/item2.xml"/><Relationship Id="rId85" Type="http://schemas.openxmlformats.org/officeDocument/2006/relationships/numbering" Target="numbering.xml"/><Relationship Id="rId84" Type="http://schemas.openxmlformats.org/officeDocument/2006/relationships/customXml" Target="../customXml/item1.xml"/><Relationship Id="rId83" Type="http://schemas.openxmlformats.org/officeDocument/2006/relationships/image" Target="media/image35.wmf"/><Relationship Id="rId82" Type="http://schemas.openxmlformats.org/officeDocument/2006/relationships/oleObject" Target="embeddings/oleObject35.bin"/><Relationship Id="rId81" Type="http://schemas.openxmlformats.org/officeDocument/2006/relationships/image" Target="media/image34.wmf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" Type="http://schemas.openxmlformats.org/officeDocument/2006/relationships/image" Target="media/image33.wmf"/><Relationship Id="rId78" Type="http://schemas.openxmlformats.org/officeDocument/2006/relationships/oleObject" Target="embeddings/oleObject33.bin"/><Relationship Id="rId77" Type="http://schemas.openxmlformats.org/officeDocument/2006/relationships/image" Target="media/image32.wmf"/><Relationship Id="rId76" Type="http://schemas.openxmlformats.org/officeDocument/2006/relationships/oleObject" Target="embeddings/oleObject32.bin"/><Relationship Id="rId75" Type="http://schemas.openxmlformats.org/officeDocument/2006/relationships/image" Target="media/image31.wmf"/><Relationship Id="rId74" Type="http://schemas.openxmlformats.org/officeDocument/2006/relationships/oleObject" Target="embeddings/oleObject31.bin"/><Relationship Id="rId73" Type="http://schemas.openxmlformats.org/officeDocument/2006/relationships/image" Target="media/image30.wmf"/><Relationship Id="rId72" Type="http://schemas.openxmlformats.org/officeDocument/2006/relationships/oleObject" Target="embeddings/oleObject30.bin"/><Relationship Id="rId71" Type="http://schemas.openxmlformats.org/officeDocument/2006/relationships/image" Target="media/image29.wmf"/><Relationship Id="rId70" Type="http://schemas.openxmlformats.org/officeDocument/2006/relationships/oleObject" Target="embeddings/oleObject29.bin"/><Relationship Id="rId7" Type="http://schemas.openxmlformats.org/officeDocument/2006/relationships/header" Target="header3.xml"/><Relationship Id="rId69" Type="http://schemas.openxmlformats.org/officeDocument/2006/relationships/image" Target="media/image28.wmf"/><Relationship Id="rId68" Type="http://schemas.openxmlformats.org/officeDocument/2006/relationships/oleObject" Target="embeddings/oleObject28.bin"/><Relationship Id="rId67" Type="http://schemas.openxmlformats.org/officeDocument/2006/relationships/image" Target="media/image27.wmf"/><Relationship Id="rId66" Type="http://schemas.openxmlformats.org/officeDocument/2006/relationships/oleObject" Target="embeddings/oleObject27.bin"/><Relationship Id="rId65" Type="http://schemas.openxmlformats.org/officeDocument/2006/relationships/image" Target="media/image26.wmf"/><Relationship Id="rId64" Type="http://schemas.openxmlformats.org/officeDocument/2006/relationships/oleObject" Target="embeddings/oleObject26.bin"/><Relationship Id="rId63" Type="http://schemas.openxmlformats.org/officeDocument/2006/relationships/image" Target="media/image25.wmf"/><Relationship Id="rId62" Type="http://schemas.openxmlformats.org/officeDocument/2006/relationships/oleObject" Target="embeddings/oleObject25.bin"/><Relationship Id="rId61" Type="http://schemas.openxmlformats.org/officeDocument/2006/relationships/image" Target="media/image24.wmf"/><Relationship Id="rId60" Type="http://schemas.openxmlformats.org/officeDocument/2006/relationships/oleObject" Target="embeddings/oleObject24.bin"/><Relationship Id="rId6" Type="http://schemas.openxmlformats.org/officeDocument/2006/relationships/footer" Target="footer2.xml"/><Relationship Id="rId59" Type="http://schemas.openxmlformats.org/officeDocument/2006/relationships/image" Target="media/image23.wmf"/><Relationship Id="rId58" Type="http://schemas.openxmlformats.org/officeDocument/2006/relationships/oleObject" Target="embeddings/oleObject23.bin"/><Relationship Id="rId57" Type="http://schemas.openxmlformats.org/officeDocument/2006/relationships/image" Target="media/image22.wmf"/><Relationship Id="rId56" Type="http://schemas.openxmlformats.org/officeDocument/2006/relationships/oleObject" Target="embeddings/oleObject22.bin"/><Relationship Id="rId55" Type="http://schemas.openxmlformats.org/officeDocument/2006/relationships/oleObject" Target="embeddings/oleObject21.bin"/><Relationship Id="rId54" Type="http://schemas.openxmlformats.org/officeDocument/2006/relationships/image" Target="media/image21.wmf"/><Relationship Id="rId53" Type="http://schemas.openxmlformats.org/officeDocument/2006/relationships/oleObject" Target="embeddings/oleObject20.bin"/><Relationship Id="rId52" Type="http://schemas.openxmlformats.org/officeDocument/2006/relationships/image" Target="media/image20.wmf"/><Relationship Id="rId51" Type="http://schemas.openxmlformats.org/officeDocument/2006/relationships/oleObject" Target="embeddings/oleObject19.bin"/><Relationship Id="rId50" Type="http://schemas.openxmlformats.org/officeDocument/2006/relationships/image" Target="media/image19.wmf"/><Relationship Id="rId5" Type="http://schemas.openxmlformats.org/officeDocument/2006/relationships/footer" Target="footer1.xml"/><Relationship Id="rId49" Type="http://schemas.openxmlformats.org/officeDocument/2006/relationships/oleObject" Target="embeddings/oleObject18.bin"/><Relationship Id="rId48" Type="http://schemas.openxmlformats.org/officeDocument/2006/relationships/image" Target="media/image18.wmf"/><Relationship Id="rId47" Type="http://schemas.openxmlformats.org/officeDocument/2006/relationships/oleObject" Target="embeddings/oleObject17.bin"/><Relationship Id="rId46" Type="http://schemas.openxmlformats.org/officeDocument/2006/relationships/image" Target="media/image17.wmf"/><Relationship Id="rId45" Type="http://schemas.openxmlformats.org/officeDocument/2006/relationships/oleObject" Target="embeddings/oleObject16.bin"/><Relationship Id="rId44" Type="http://schemas.openxmlformats.org/officeDocument/2006/relationships/image" Target="media/image16.wmf"/><Relationship Id="rId43" Type="http://schemas.openxmlformats.org/officeDocument/2006/relationships/oleObject" Target="embeddings/oleObject15.bin"/><Relationship Id="rId42" Type="http://schemas.openxmlformats.org/officeDocument/2006/relationships/image" Target="media/image15.wmf"/><Relationship Id="rId41" Type="http://schemas.openxmlformats.org/officeDocument/2006/relationships/oleObject" Target="embeddings/oleObject14.bin"/><Relationship Id="rId40" Type="http://schemas.openxmlformats.org/officeDocument/2006/relationships/image" Target="media/image14.wmf"/><Relationship Id="rId4" Type="http://schemas.openxmlformats.org/officeDocument/2006/relationships/header" Target="header2.xml"/><Relationship Id="rId39" Type="http://schemas.openxmlformats.org/officeDocument/2006/relationships/oleObject" Target="embeddings/oleObject13.bin"/><Relationship Id="rId38" Type="http://schemas.openxmlformats.org/officeDocument/2006/relationships/image" Target="media/image13.wmf"/><Relationship Id="rId37" Type="http://schemas.openxmlformats.org/officeDocument/2006/relationships/oleObject" Target="embeddings/oleObject12.bin"/><Relationship Id="rId36" Type="http://schemas.openxmlformats.org/officeDocument/2006/relationships/image" Target="media/image12.wmf"/><Relationship Id="rId35" Type="http://schemas.openxmlformats.org/officeDocument/2006/relationships/oleObject" Target="embeddings/oleObject11.bin"/><Relationship Id="rId34" Type="http://schemas.openxmlformats.org/officeDocument/2006/relationships/image" Target="media/image11.wmf"/><Relationship Id="rId33" Type="http://schemas.openxmlformats.org/officeDocument/2006/relationships/oleObject" Target="embeddings/oleObject10.bin"/><Relationship Id="rId32" Type="http://schemas.openxmlformats.org/officeDocument/2006/relationships/image" Target="media/image10.wmf"/><Relationship Id="rId31" Type="http://schemas.openxmlformats.org/officeDocument/2006/relationships/oleObject" Target="embeddings/oleObject9.bin"/><Relationship Id="rId30" Type="http://schemas.openxmlformats.org/officeDocument/2006/relationships/image" Target="media/image9.wmf"/><Relationship Id="rId3" Type="http://schemas.openxmlformats.org/officeDocument/2006/relationships/header" Target="header1.xml"/><Relationship Id="rId29" Type="http://schemas.openxmlformats.org/officeDocument/2006/relationships/oleObject" Target="embeddings/oleObject8.bin"/><Relationship Id="rId28" Type="http://schemas.openxmlformats.org/officeDocument/2006/relationships/image" Target="media/image8.wmf"/><Relationship Id="rId27" Type="http://schemas.openxmlformats.org/officeDocument/2006/relationships/oleObject" Target="embeddings/oleObject7.bin"/><Relationship Id="rId26" Type="http://schemas.openxmlformats.org/officeDocument/2006/relationships/image" Target="media/image7.wmf"/><Relationship Id="rId25" Type="http://schemas.openxmlformats.org/officeDocument/2006/relationships/oleObject" Target="embeddings/oleObject6.bin"/><Relationship Id="rId24" Type="http://schemas.openxmlformats.org/officeDocument/2006/relationships/image" Target="media/image6.wmf"/><Relationship Id="rId23" Type="http://schemas.openxmlformats.org/officeDocument/2006/relationships/oleObject" Target="embeddings/oleObject5.bin"/><Relationship Id="rId22" Type="http://schemas.openxmlformats.org/officeDocument/2006/relationships/image" Target="media/image5.wmf"/><Relationship Id="rId21" Type="http://schemas.openxmlformats.org/officeDocument/2006/relationships/oleObject" Target="embeddings/oleObject4.bin"/><Relationship Id="rId20" Type="http://schemas.openxmlformats.org/officeDocument/2006/relationships/image" Target="media/image4.wmf"/><Relationship Id="rId2" Type="http://schemas.openxmlformats.org/officeDocument/2006/relationships/settings" Target="settings.xml"/><Relationship Id="rId19" Type="http://schemas.openxmlformats.org/officeDocument/2006/relationships/oleObject" Target="embeddings/oleObject3.bin"/><Relationship Id="rId18" Type="http://schemas.openxmlformats.org/officeDocument/2006/relationships/image" Target="media/image3.wmf"/><Relationship Id="rId17" Type="http://schemas.openxmlformats.org/officeDocument/2006/relationships/oleObject" Target="embeddings/oleObject2.bin"/><Relationship Id="rId16" Type="http://schemas.openxmlformats.org/officeDocument/2006/relationships/image" Target="media/image2.wmf"/><Relationship Id="rId15" Type="http://schemas.openxmlformats.org/officeDocument/2006/relationships/oleObject" Target="embeddings/oleObject1.bin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23F83-8368-4090-BE13-4E2B2C88A4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3243</Words>
  <Characters>3947</Characters>
  <Lines>52</Lines>
  <Paragraphs>14</Paragraphs>
  <TotalTime>3</TotalTime>
  <ScaleCrop>false</ScaleCrop>
  <LinksUpToDate>false</LinksUpToDate>
  <CharactersWithSpaces>4709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2024-11-19T13:37:00Z</dcterms:created>
  <dc:creator>hys</dc:creator>
  <cp:lastModifiedBy>穆清风</cp:lastModifiedBy>
  <cp:lastPrinted>2024-11-20T00:20:00Z</cp:lastPrinted>
  <dcterms:modified xsi:type="dcterms:W3CDTF">2025-10-16T23:39:31Z</dcterms:modified>
  <dc:title>血液透析、透析滤过和滤过设备检定规程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4B15885951E04D1AB6CEEE733A472865_13</vt:lpwstr>
  </property>
  <property fmtid="{D5CDD505-2E9C-101B-9397-08002B2CF9AE}" pid="4" name="KSOTemplateDocerSaveRecord">
    <vt:lpwstr>eyJoZGlkIjoiNDhjZGYwZmU1NjRiNThmMWRmZmE3MmQ4MDYwZGVhMzciLCJ1c2VySWQiOiI3NDczMzY0NzgifQ==</vt:lpwstr>
  </property>
</Properties>
</file>